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24" w:rsidRPr="00793186" w:rsidRDefault="00FF25F9" w:rsidP="00FF25F9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793186">
        <w:rPr>
          <w:rFonts w:ascii="標楷體" w:eastAsia="標楷體" w:hAnsi="標楷體" w:hint="eastAsia"/>
          <w:b/>
          <w:sz w:val="32"/>
          <w:szCs w:val="28"/>
        </w:rPr>
        <w:t>行政院原子能委員會政府資料開放行動策略修正對照表</w:t>
      </w:r>
    </w:p>
    <w:p w:rsidR="00793186" w:rsidRPr="00793186" w:rsidRDefault="00793186" w:rsidP="00793186">
      <w:pPr>
        <w:jc w:val="right"/>
        <w:rPr>
          <w:rFonts w:ascii="標楷體" w:eastAsia="標楷體" w:hAnsi="標楷體"/>
          <w:szCs w:val="28"/>
        </w:rPr>
      </w:pPr>
      <w:r w:rsidRPr="00793186">
        <w:rPr>
          <w:rFonts w:ascii="標楷體" w:eastAsia="標楷體" w:hAnsi="標楷體"/>
          <w:szCs w:val="28"/>
        </w:rPr>
        <w:fldChar w:fldCharType="begin"/>
      </w:r>
      <w:r w:rsidRPr="00793186">
        <w:rPr>
          <w:rFonts w:ascii="標楷體" w:eastAsia="標楷體" w:hAnsi="標楷體"/>
          <w:szCs w:val="28"/>
        </w:rPr>
        <w:instrText xml:space="preserve"> </w:instrText>
      </w:r>
      <w:r w:rsidRPr="00793186">
        <w:rPr>
          <w:rFonts w:ascii="標楷體" w:eastAsia="標楷體" w:hAnsi="標楷體" w:hint="eastAsia"/>
          <w:szCs w:val="28"/>
        </w:rPr>
        <w:instrText>TIME \@ "e年M月d日"</w:instrText>
      </w:r>
      <w:r w:rsidRPr="00793186">
        <w:rPr>
          <w:rFonts w:ascii="標楷體" w:eastAsia="標楷體" w:hAnsi="標楷體"/>
          <w:szCs w:val="28"/>
        </w:rPr>
        <w:instrText xml:space="preserve"> </w:instrText>
      </w:r>
      <w:r w:rsidRPr="00793186">
        <w:rPr>
          <w:rFonts w:ascii="標楷體" w:eastAsia="標楷體" w:hAnsi="標楷體"/>
          <w:szCs w:val="28"/>
        </w:rPr>
        <w:fldChar w:fldCharType="separate"/>
      </w:r>
      <w:r w:rsidR="00D93843">
        <w:rPr>
          <w:rFonts w:ascii="標楷體" w:eastAsia="標楷體" w:hAnsi="標楷體"/>
          <w:noProof/>
          <w:szCs w:val="28"/>
        </w:rPr>
        <w:t>106年12月26日</w:t>
      </w:r>
      <w:r w:rsidRPr="00793186">
        <w:rPr>
          <w:rFonts w:ascii="標楷體" w:eastAsia="標楷體" w:hAnsi="標楷體"/>
          <w:szCs w:val="28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2228"/>
      </w:tblGrid>
      <w:tr w:rsidR="00FF25F9" w:rsidRPr="00793186" w:rsidTr="00793186">
        <w:trPr>
          <w:trHeight w:val="336"/>
          <w:tblHeader/>
        </w:trPr>
        <w:tc>
          <w:tcPr>
            <w:tcW w:w="3754" w:type="dxa"/>
          </w:tcPr>
          <w:p w:rsidR="00FF25F9" w:rsidRPr="00793186" w:rsidRDefault="00FF25F9" w:rsidP="00793186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793186">
              <w:rPr>
                <w:rFonts w:ascii="標楷體" w:eastAsia="標楷體" w:hAnsi="標楷體" w:hint="eastAsia"/>
                <w:szCs w:val="24"/>
              </w:rPr>
              <w:t>修正規定</w:t>
            </w:r>
          </w:p>
        </w:tc>
        <w:tc>
          <w:tcPr>
            <w:tcW w:w="3754" w:type="dxa"/>
          </w:tcPr>
          <w:p w:rsidR="00FF25F9" w:rsidRPr="00793186" w:rsidRDefault="00FF25F9" w:rsidP="00793186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793186">
              <w:rPr>
                <w:rFonts w:ascii="標楷體" w:eastAsia="標楷體" w:hAnsi="標楷體" w:hint="eastAsia"/>
                <w:szCs w:val="24"/>
              </w:rPr>
              <w:t>現行規定</w:t>
            </w:r>
          </w:p>
        </w:tc>
        <w:tc>
          <w:tcPr>
            <w:tcW w:w="2228" w:type="dxa"/>
          </w:tcPr>
          <w:p w:rsidR="00FF25F9" w:rsidRPr="00793186" w:rsidRDefault="00FF25F9" w:rsidP="00793186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79318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FF25F9" w:rsidRPr="00793186" w:rsidTr="00793186">
        <w:tc>
          <w:tcPr>
            <w:tcW w:w="3754" w:type="dxa"/>
          </w:tcPr>
          <w:p w:rsidR="00FF25F9" w:rsidRPr="00D93843" w:rsidRDefault="00FF25F9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Times New Roman" w:hAnsi="Times New Roman" w:cs="Times New Roman"/>
                <w:szCs w:val="24"/>
              </w:rPr>
              <w:t>一、</w:t>
            </w:r>
            <w:r w:rsidRPr="00D93843">
              <w:rPr>
                <w:rFonts w:asciiTheme="minorEastAsia" w:hAnsiTheme="minorEastAsia" w:hint="eastAsia"/>
                <w:szCs w:val="24"/>
              </w:rPr>
              <w:tab/>
            </w:r>
            <w:r w:rsidRPr="00D93843">
              <w:rPr>
                <w:rFonts w:ascii="標楷體" w:eastAsia="標楷體" w:hAnsi="標楷體" w:hint="eastAsia"/>
                <w:szCs w:val="24"/>
              </w:rPr>
              <w:t>緣起</w:t>
            </w:r>
          </w:p>
          <w:p w:rsidR="00FF25F9" w:rsidRPr="00D93843" w:rsidRDefault="00FF25F9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01</w:t>
            </w:r>
            <w:r w:rsidRPr="00D93843">
              <w:rPr>
                <w:rFonts w:ascii="標楷體" w:eastAsia="標楷體" w:hAnsi="標楷體" w:hint="eastAsia"/>
                <w:szCs w:val="24"/>
              </w:rPr>
              <w:t>年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1</w:t>
            </w:r>
            <w:r w:rsidRPr="00D93843">
              <w:rPr>
                <w:rFonts w:ascii="標楷體" w:eastAsia="標楷體" w:hAnsi="標楷體" w:hint="eastAsia"/>
                <w:szCs w:val="24"/>
              </w:rPr>
              <w:t>月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8</w:t>
            </w:r>
            <w:r w:rsidRPr="00D93843">
              <w:rPr>
                <w:rFonts w:ascii="標楷體" w:eastAsia="標楷體" w:hAnsi="標楷體" w:hint="eastAsia"/>
                <w:szCs w:val="24"/>
              </w:rPr>
              <w:t>日行政院第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3</w:t>
            </w:r>
            <w:r w:rsidR="00793186" w:rsidRPr="00D93843">
              <w:rPr>
                <w:rFonts w:ascii="標楷體" w:eastAsia="標楷體" w:hAnsi="標楷體"/>
                <w:szCs w:val="24"/>
              </w:rPr>
              <w:t>322</w:t>
            </w:r>
            <w:r w:rsidRPr="00D93843">
              <w:rPr>
                <w:rFonts w:ascii="標楷體" w:eastAsia="標楷體" w:hAnsi="標楷體" w:hint="eastAsia"/>
                <w:szCs w:val="24"/>
              </w:rPr>
              <w:t>次院會決議指示，政府開放資料 (Open Data)可增進政府施政透明度、提升民眾生活品質，滿足產業界需求，並對於各級政府間或各部會間之決策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品質均有助益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，應自民眾的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應用面發想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，思考使用端之需求，在規劃時也要考慮到機器讀取介面的必要性。</w:t>
            </w:r>
          </w:p>
          <w:p w:rsidR="00FF25F9" w:rsidRPr="00D93843" w:rsidRDefault="00FF25F9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00</w:t>
            </w:r>
            <w:r w:rsidRPr="00D93843">
              <w:rPr>
                <w:rFonts w:ascii="標楷體" w:eastAsia="標楷體" w:hAnsi="標楷體" w:hint="eastAsia"/>
                <w:szCs w:val="24"/>
              </w:rPr>
              <w:t>年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2</w:t>
            </w:r>
            <w:r w:rsidRPr="00D93843">
              <w:rPr>
                <w:rFonts w:ascii="標楷體" w:eastAsia="標楷體" w:hAnsi="標楷體" w:hint="eastAsia"/>
                <w:szCs w:val="24"/>
              </w:rPr>
              <w:t>月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2</w:t>
            </w:r>
            <w:r w:rsidR="00793186" w:rsidRPr="00D93843">
              <w:rPr>
                <w:rFonts w:ascii="標楷體" w:eastAsia="標楷體" w:hAnsi="標楷體"/>
                <w:szCs w:val="24"/>
              </w:rPr>
              <w:t>3</w:t>
            </w:r>
            <w:r w:rsidRPr="00D93843">
              <w:rPr>
                <w:rFonts w:ascii="標楷體" w:eastAsia="標楷體" w:hAnsi="標楷體" w:hint="eastAsia"/>
                <w:szCs w:val="24"/>
              </w:rPr>
              <w:t>日行政院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函頒「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行政院及所屬各級機關政府資料開放作業原則」，明訂政府資料以開放、無償提供、開放格式、允許使用者自由應用為原則。期透過政府資料開放之推動，達成政府資訊透明，促成跨機關與民間協同合作，推動服務創新。</w:t>
            </w:r>
          </w:p>
          <w:p w:rsidR="00FF25F9" w:rsidRPr="00D93843" w:rsidRDefault="00FF25F9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為配合政府資料開放政策，依據行政院「政府資料開放諮詢小組設置要點」，本會於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04</w:t>
            </w:r>
            <w:r w:rsidRPr="00D93843">
              <w:rPr>
                <w:rFonts w:ascii="標楷體" w:eastAsia="標楷體" w:hAnsi="標楷體" w:hint="eastAsia"/>
                <w:szCs w:val="24"/>
              </w:rPr>
              <w:t>年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4</w:t>
            </w:r>
            <w:r w:rsidRPr="00D93843">
              <w:rPr>
                <w:rFonts w:ascii="標楷體" w:eastAsia="標楷體" w:hAnsi="標楷體" w:hint="eastAsia"/>
                <w:szCs w:val="24"/>
              </w:rPr>
              <w:t>月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2</w:t>
            </w:r>
            <w:r w:rsidR="00793186" w:rsidRPr="00D93843">
              <w:rPr>
                <w:rFonts w:ascii="標楷體" w:eastAsia="標楷體" w:hAnsi="標楷體"/>
                <w:szCs w:val="24"/>
              </w:rPr>
              <w:t>8</w:t>
            </w:r>
            <w:r w:rsidRPr="00D93843">
              <w:rPr>
                <w:rFonts w:ascii="標楷體" w:eastAsia="標楷體" w:hAnsi="標楷體" w:hint="eastAsia"/>
                <w:szCs w:val="24"/>
              </w:rPr>
              <w:t>日奉核定成立「資料開放諮詢小組」（下稱諮詢小組），加強推動資料開放、提升資料集品質、建立推廣及績效管理機制。</w:t>
            </w:r>
          </w:p>
          <w:p w:rsidR="00793186" w:rsidRPr="00D93843" w:rsidRDefault="00793186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</w:p>
          <w:p w:rsidR="00FF25F9" w:rsidRPr="00D93843" w:rsidRDefault="00FF25F9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(四)</w:t>
            </w:r>
            <w:r w:rsidRPr="00D93843">
              <w:rPr>
                <w:rFonts w:ascii="標楷體" w:eastAsia="標楷體" w:hAnsi="標楷體" w:hint="eastAsia"/>
                <w:szCs w:val="24"/>
                <w:u w:val="single"/>
              </w:rPr>
              <w:tab/>
              <w:t>依據106年10月24日「行政院及所屬各級機關政府資料</w:t>
            </w:r>
            <w:r w:rsidRPr="00D93843">
              <w:rPr>
                <w:rFonts w:ascii="標楷體" w:eastAsia="標楷體" w:hAnsi="標楷體" w:hint="eastAsia"/>
                <w:szCs w:val="24"/>
                <w:u w:val="single"/>
              </w:rPr>
              <w:lastRenderedPageBreak/>
              <w:t>開放作業原則」及106年11月16日「政府資料開放諮詢小組設置要點」修訂。</w:t>
            </w:r>
          </w:p>
        </w:tc>
        <w:tc>
          <w:tcPr>
            <w:tcW w:w="3754" w:type="dxa"/>
          </w:tcPr>
          <w:p w:rsidR="00FF25F9" w:rsidRPr="00D93843" w:rsidRDefault="00FF25F9" w:rsidP="00793186">
            <w:pPr>
              <w:snapToGrid w:val="0"/>
              <w:spacing w:line="400" w:lineRule="exact"/>
              <w:ind w:left="528" w:hangingChars="220" w:hanging="528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一、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緣起</w:t>
            </w:r>
          </w:p>
          <w:p w:rsidR="00FF25F9" w:rsidRPr="00D93843" w:rsidRDefault="00FF25F9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01</w:t>
            </w:r>
            <w:r w:rsidRPr="00D93843">
              <w:rPr>
                <w:rFonts w:ascii="標楷體" w:eastAsia="標楷體" w:hAnsi="標楷體" w:hint="eastAsia"/>
                <w:szCs w:val="24"/>
              </w:rPr>
              <w:t>年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1</w:t>
            </w:r>
            <w:r w:rsidRPr="00D93843">
              <w:rPr>
                <w:rFonts w:ascii="標楷體" w:eastAsia="標楷體" w:hAnsi="標楷體" w:hint="eastAsia"/>
                <w:szCs w:val="24"/>
              </w:rPr>
              <w:t>月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8</w:t>
            </w:r>
            <w:r w:rsidRPr="00D93843">
              <w:rPr>
                <w:rFonts w:ascii="標楷體" w:eastAsia="標楷體" w:hAnsi="標楷體" w:hint="eastAsia"/>
                <w:szCs w:val="24"/>
              </w:rPr>
              <w:t>日行政院第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3</w:t>
            </w:r>
            <w:r w:rsidR="00793186" w:rsidRPr="00D93843">
              <w:rPr>
                <w:rFonts w:ascii="標楷體" w:eastAsia="標楷體" w:hAnsi="標楷體"/>
                <w:szCs w:val="24"/>
              </w:rPr>
              <w:t>322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次</w:t>
            </w:r>
            <w:r w:rsidRPr="00D93843">
              <w:rPr>
                <w:rFonts w:ascii="標楷體" w:eastAsia="標楷體" w:hAnsi="標楷體" w:hint="eastAsia"/>
                <w:szCs w:val="24"/>
              </w:rPr>
              <w:t>院會決議指示，政府開放資料 (Open Data)可增進政府施政透明度、提升民眾生活品質，滿足產業界需求，並對於各級政府間或各部會間之決策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品質均有助益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，應自民眾的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應用面發想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，思考使用端之需求，在規劃時也要考慮到機器讀取介面的必要性。</w:t>
            </w:r>
          </w:p>
          <w:p w:rsidR="00FF25F9" w:rsidRPr="00D93843" w:rsidRDefault="00FF25F9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00</w:t>
            </w:r>
            <w:r w:rsidRPr="00D93843">
              <w:rPr>
                <w:rFonts w:ascii="標楷體" w:eastAsia="標楷體" w:hAnsi="標楷體" w:hint="eastAsia"/>
                <w:szCs w:val="24"/>
              </w:rPr>
              <w:t>年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2</w:t>
            </w:r>
            <w:r w:rsidRPr="00D93843">
              <w:rPr>
                <w:rFonts w:ascii="標楷體" w:eastAsia="標楷體" w:hAnsi="標楷體" w:hint="eastAsia"/>
                <w:szCs w:val="24"/>
              </w:rPr>
              <w:t>月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2</w:t>
            </w:r>
            <w:r w:rsidR="00793186" w:rsidRPr="00D93843">
              <w:rPr>
                <w:rFonts w:ascii="標楷體" w:eastAsia="標楷體" w:hAnsi="標楷體"/>
                <w:szCs w:val="24"/>
              </w:rPr>
              <w:t>3</w:t>
            </w:r>
            <w:r w:rsidRPr="00D93843">
              <w:rPr>
                <w:rFonts w:ascii="標楷體" w:eastAsia="標楷體" w:hAnsi="標楷體" w:hint="eastAsia"/>
                <w:szCs w:val="24"/>
              </w:rPr>
              <w:t>日行政院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函頒「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行政院及所屬各級機關政府資料開放作業原則」，明訂政府資料以開放、無償提供、開放格式、允許使用者自由應用為原則。期透過政府資料開放之推動，達成政府資訊透明，促成跨機關與民間協同合作，推動服務創新。</w:t>
            </w:r>
          </w:p>
          <w:p w:rsidR="00FF25F9" w:rsidRPr="00D93843" w:rsidRDefault="00FF25F9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為配合政府資料開放政策，依據行政院「政府資料開放諮詢小組設置要點」，本會於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1</w:t>
            </w:r>
            <w:r w:rsidR="00793186" w:rsidRPr="00D93843">
              <w:rPr>
                <w:rFonts w:ascii="標楷體" w:eastAsia="標楷體" w:hAnsi="標楷體"/>
                <w:szCs w:val="24"/>
              </w:rPr>
              <w:t>04</w:t>
            </w:r>
            <w:r w:rsidRPr="00D93843">
              <w:rPr>
                <w:rFonts w:ascii="標楷體" w:eastAsia="標楷體" w:hAnsi="標楷體" w:hint="eastAsia"/>
                <w:szCs w:val="24"/>
              </w:rPr>
              <w:t>年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4</w:t>
            </w:r>
            <w:r w:rsidRPr="00D93843">
              <w:rPr>
                <w:rFonts w:ascii="標楷體" w:eastAsia="標楷體" w:hAnsi="標楷體" w:hint="eastAsia"/>
                <w:szCs w:val="24"/>
              </w:rPr>
              <w:t>月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2</w:t>
            </w:r>
            <w:r w:rsidR="00793186" w:rsidRPr="00D93843">
              <w:rPr>
                <w:rFonts w:ascii="標楷體" w:eastAsia="標楷體" w:hAnsi="標楷體"/>
                <w:szCs w:val="24"/>
              </w:rPr>
              <w:t>8</w:t>
            </w:r>
            <w:r w:rsidRPr="00D93843">
              <w:rPr>
                <w:rFonts w:ascii="標楷體" w:eastAsia="標楷體" w:hAnsi="標楷體" w:hint="eastAsia"/>
                <w:szCs w:val="24"/>
              </w:rPr>
              <w:t>日奉核定成立「資料開放諮詢小組」（下稱諮詢小組），加強推動資料開放、提升資料集品質、建立推廣及績效管理機制。</w:t>
            </w:r>
          </w:p>
        </w:tc>
        <w:tc>
          <w:tcPr>
            <w:tcW w:w="2228" w:type="dxa"/>
          </w:tcPr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A726B" w:rsidRPr="00D93843" w:rsidRDefault="005A726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793186" w:rsidRPr="00D93843" w:rsidRDefault="00793186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793186" w:rsidRPr="00D93843" w:rsidRDefault="00793186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793186" w:rsidRPr="00D93843" w:rsidRDefault="00793186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D31EF" w:rsidRPr="00D93843" w:rsidRDefault="003D31EF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572A2" w:rsidRPr="00D93843" w:rsidRDefault="00AC3FDB" w:rsidP="00793186">
            <w:pPr>
              <w:snapToGrid w:val="0"/>
              <w:spacing w:line="400" w:lineRule="exact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本點新增第(四)項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。</w:t>
            </w:r>
            <w:r w:rsidRPr="00D93843">
              <w:rPr>
                <w:rFonts w:ascii="標楷體" w:eastAsia="標楷體" w:hAnsi="標楷體" w:hint="eastAsia"/>
                <w:szCs w:val="24"/>
              </w:rPr>
              <w:t>依據106年10月24日「行政院及所屬各級機關政府資料開放作業原則」及106年11月16日「政府資料開放諮詢小組設置要點」修訂</w:t>
            </w:r>
            <w:r w:rsidRPr="00D93843">
              <w:rPr>
                <w:rFonts w:hint="eastAsia"/>
                <w:szCs w:val="24"/>
              </w:rPr>
              <w:t>。</w:t>
            </w:r>
          </w:p>
        </w:tc>
      </w:tr>
      <w:tr w:rsidR="00AC3FDB" w:rsidRPr="00793186" w:rsidTr="00793186">
        <w:tc>
          <w:tcPr>
            <w:tcW w:w="3754" w:type="dxa"/>
          </w:tcPr>
          <w:p w:rsidR="00AC3FDB" w:rsidRPr="00D93843" w:rsidRDefault="00AC3FDB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cs="Times New Roman"/>
                <w:szCs w:val="24"/>
              </w:rPr>
              <w:lastRenderedPageBreak/>
              <w:t>二</w:t>
            </w:r>
            <w:r w:rsidRPr="00D93843">
              <w:rPr>
                <w:rFonts w:ascii="Times New Roman" w:hAnsi="Times New Roman" w:cs="Times New Roman"/>
                <w:szCs w:val="24"/>
              </w:rPr>
              <w:t>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範圍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Chars="189" w:left="454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資料開放的類型以便利及提升民眾生活品質為優先，期透過政府資料開放，促進民眾對於原子能、輻射方面知識的瞭解，及促成跨機關與民間協同合作與服務創新。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組織範圍：本會及所屬機關。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資料範圍：為本會於職權範圍內取得或做成，且依法得公開之各類電子資料，包含文字、數據、圖片、影像、聲音、詮釋資料(metadata)等</w:t>
            </w:r>
            <w:r w:rsidRPr="00D93843">
              <w:rPr>
                <w:rFonts w:hint="eastAsia"/>
                <w:szCs w:val="24"/>
              </w:rPr>
              <w:t>。</w:t>
            </w:r>
          </w:p>
        </w:tc>
        <w:tc>
          <w:tcPr>
            <w:tcW w:w="3754" w:type="dxa"/>
          </w:tcPr>
          <w:p w:rsidR="00AC3FDB" w:rsidRPr="00D93843" w:rsidRDefault="00AC3FDB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cs="Times New Roman"/>
                <w:szCs w:val="24"/>
              </w:rPr>
              <w:t>二</w:t>
            </w:r>
            <w:r w:rsidRPr="00D93843">
              <w:rPr>
                <w:rFonts w:ascii="Times New Roman" w:hAnsi="Times New Roman" w:cs="Times New Roman"/>
                <w:szCs w:val="24"/>
              </w:rPr>
              <w:t>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範圍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Chars="189" w:left="454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資料開放的類型以便利及提升民眾生活品質為優先，期透過政府資料開放，促進民眾對於原子能、輻射方面知識的瞭解，及促成跨機關與民間協同合作與服務創新。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組織範圍：本會及所屬機關。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資料範圍：為本會於職權範圍內取得或做成，且依法得公開之各類電子資料，包含文字、數據、圖片、影像、聲音、詮釋資料(metadata)等</w:t>
            </w:r>
            <w:r w:rsidRPr="00D93843">
              <w:rPr>
                <w:rFonts w:hint="eastAsia"/>
                <w:szCs w:val="24"/>
              </w:rPr>
              <w:t>。</w:t>
            </w:r>
          </w:p>
        </w:tc>
        <w:tc>
          <w:tcPr>
            <w:tcW w:w="2228" w:type="dxa"/>
          </w:tcPr>
          <w:p w:rsidR="00AC3FDB" w:rsidRPr="00D93843" w:rsidRDefault="00AC3FD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本點未修正</w:t>
            </w:r>
          </w:p>
        </w:tc>
      </w:tr>
      <w:tr w:rsidR="00AC3FDB" w:rsidRPr="00793186" w:rsidTr="00793186">
        <w:tc>
          <w:tcPr>
            <w:tcW w:w="3754" w:type="dxa"/>
          </w:tcPr>
          <w:p w:rsidR="00AC3FDB" w:rsidRPr="00D93843" w:rsidRDefault="00AC3FDB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cs="Times New Roman"/>
                <w:szCs w:val="24"/>
              </w:rPr>
              <w:t>三</w:t>
            </w:r>
            <w:r w:rsidRPr="00D93843">
              <w:rPr>
                <w:rFonts w:ascii="Times New Roman" w:hAnsi="Times New Roman" w:cs="Times New Roman"/>
                <w:szCs w:val="24"/>
              </w:rPr>
              <w:t>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執行策略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透過盤點及清查等方式，檢視前述資料範圍。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資訊系統之規劃須納入資料開放需求。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定期舉辦資料開放相關作業說明與討論，協助同仁瞭解政府開放資料策略。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(四)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加強與民間產政學溝通合作，協助檢視本會開放資料品質。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(五)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資料集及問題解決均指定專人負責，以快速回應使用者意見，提升使用者滿意度</w:t>
            </w:r>
            <w:r w:rsidRPr="00D93843">
              <w:rPr>
                <w:rFonts w:hint="eastAsia"/>
                <w:szCs w:val="24"/>
              </w:rPr>
              <w:t>。</w:t>
            </w:r>
          </w:p>
        </w:tc>
        <w:tc>
          <w:tcPr>
            <w:tcW w:w="3754" w:type="dxa"/>
          </w:tcPr>
          <w:p w:rsidR="00AC3FDB" w:rsidRPr="00D93843" w:rsidRDefault="00AC3FDB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cs="Times New Roman"/>
                <w:szCs w:val="24"/>
              </w:rPr>
              <w:lastRenderedPageBreak/>
              <w:t>三</w:t>
            </w:r>
            <w:r w:rsidRPr="00D93843">
              <w:rPr>
                <w:rFonts w:ascii="Times New Roman" w:hAnsi="Times New Roman" w:cs="Times New Roman"/>
                <w:szCs w:val="24"/>
              </w:rPr>
              <w:t>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執行策略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透過盤點及清查等方式，檢視前述資料範圍。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資訊系統之規劃須納入資料開放需求。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定期舉辦資料開放相關作業說明與討論，協助同仁瞭解政府開放資料策略。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(四)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加強與民間產政學溝通合作，協助檢視本會開放資料品質。</w:t>
            </w:r>
          </w:p>
          <w:p w:rsidR="00AC3FDB" w:rsidRPr="00D93843" w:rsidRDefault="00AC3FDB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(五)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資料集及問題解決均指定專人負責，以快速回應使用者意見，提升使用者滿意度</w:t>
            </w:r>
            <w:r w:rsidRPr="00D93843">
              <w:rPr>
                <w:rFonts w:hint="eastAsia"/>
                <w:szCs w:val="24"/>
              </w:rPr>
              <w:t>。</w:t>
            </w:r>
          </w:p>
        </w:tc>
        <w:tc>
          <w:tcPr>
            <w:tcW w:w="2228" w:type="dxa"/>
          </w:tcPr>
          <w:p w:rsidR="00AC3FDB" w:rsidRPr="00D93843" w:rsidRDefault="00AC3FDB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本點未修正</w:t>
            </w:r>
          </w:p>
        </w:tc>
      </w:tr>
      <w:tr w:rsidR="00AC3FDB" w:rsidRPr="00793186" w:rsidTr="00793186">
        <w:tc>
          <w:tcPr>
            <w:tcW w:w="3754" w:type="dxa"/>
          </w:tcPr>
          <w:p w:rsidR="006B67BB" w:rsidRPr="00D93843" w:rsidRDefault="006B67BB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四、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本會諮詢小組運作架構：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置召集人一人，由本會資訊長兼任之，委員十一至二十一人。除召集人為當然委員外，其餘委員由本會主任委員就下列人員派(聘</w:t>
            </w:r>
            <w:r w:rsidR="00793186" w:rsidRPr="00D93843">
              <w:rPr>
                <w:rFonts w:ascii="標楷體" w:eastAsia="標楷體" w:hAnsi="標楷體"/>
                <w:szCs w:val="24"/>
              </w:rPr>
              <w:t>)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兼之；民間代表人數不得少於委員總數三分之一：</w:t>
            </w:r>
          </w:p>
          <w:p w:rsidR="006B67BB" w:rsidRPr="00D93843" w:rsidRDefault="006B67BB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機關代表：由本會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法制、業務、主計及資訊等</w:t>
            </w:r>
            <w:r w:rsidRPr="00D93843">
              <w:rPr>
                <w:rFonts w:ascii="標楷體" w:eastAsia="標楷體" w:hAnsi="標楷體" w:hint="eastAsia"/>
                <w:szCs w:val="24"/>
              </w:rPr>
              <w:t>單位主管及所屬機關主任秘書層級以上人員擔任。</w:t>
            </w:r>
          </w:p>
          <w:p w:rsidR="00AC3FDB" w:rsidRPr="00D93843" w:rsidRDefault="006B67BB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民間</w:t>
            </w:r>
            <w:r w:rsidR="00F47ED2" w:rsidRPr="00D93843">
              <w:rPr>
                <w:rFonts w:ascii="標楷體" w:eastAsia="標楷體" w:hAnsi="標楷體" w:hint="eastAsia"/>
                <w:szCs w:val="24"/>
              </w:rPr>
              <w:t>代</w:t>
            </w:r>
            <w:r w:rsidRPr="00D93843">
              <w:rPr>
                <w:rFonts w:ascii="標楷體" w:eastAsia="標楷體" w:hAnsi="標楷體" w:hint="eastAsia"/>
                <w:szCs w:val="24"/>
              </w:rPr>
              <w:t>表：由具有學術專長或實務經驗之學者專家擔任。</w:t>
            </w:r>
          </w:p>
        </w:tc>
        <w:tc>
          <w:tcPr>
            <w:tcW w:w="3754" w:type="dxa"/>
          </w:tcPr>
          <w:p w:rsidR="00AC3FDB" w:rsidRPr="00D93843" w:rsidRDefault="00AC3FDB" w:rsidP="00793186">
            <w:pPr>
              <w:snapToGrid w:val="0"/>
              <w:spacing w:line="400" w:lineRule="exact"/>
              <w:rPr>
                <w:szCs w:val="24"/>
              </w:rPr>
            </w:pPr>
          </w:p>
        </w:tc>
        <w:tc>
          <w:tcPr>
            <w:tcW w:w="2228" w:type="dxa"/>
          </w:tcPr>
          <w:p w:rsidR="0001173C" w:rsidRPr="00D93843" w:rsidRDefault="0001173C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一、本點新增。</w:t>
            </w:r>
          </w:p>
          <w:p w:rsidR="00AC3FDB" w:rsidRPr="00D93843" w:rsidRDefault="0001173C" w:rsidP="0001173C">
            <w:pPr>
              <w:snapToGrid w:val="0"/>
              <w:spacing w:line="40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二、</w:t>
            </w:r>
            <w:r w:rsidR="003D31EF" w:rsidRPr="00D93843">
              <w:rPr>
                <w:rFonts w:ascii="標楷體" w:eastAsia="標楷體" w:hAnsi="標楷體" w:hint="eastAsia"/>
                <w:szCs w:val="24"/>
              </w:rPr>
              <w:t>為敘述本會政府資料開放諮詢小組運作架構，</w:t>
            </w:r>
            <w:proofErr w:type="gramStart"/>
            <w:r w:rsidR="003D31EF" w:rsidRPr="00D93843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3D31EF" w:rsidRPr="00D93843">
              <w:rPr>
                <w:rFonts w:ascii="標楷體" w:eastAsia="標楷體" w:hAnsi="標楷體" w:hint="eastAsia"/>
                <w:szCs w:val="24"/>
              </w:rPr>
              <w:t>新增本點。</w:t>
            </w:r>
          </w:p>
        </w:tc>
      </w:tr>
      <w:tr w:rsidR="00793186" w:rsidRPr="00793186" w:rsidTr="00793186">
        <w:tc>
          <w:tcPr>
            <w:tcW w:w="3754" w:type="dxa"/>
          </w:tcPr>
          <w:p w:rsidR="00793186" w:rsidRPr="00D93843" w:rsidRDefault="00793186" w:rsidP="00793186">
            <w:pPr>
              <w:snapToGrid w:val="0"/>
              <w:spacing w:line="400" w:lineRule="exact"/>
              <w:ind w:left="454" w:hangingChars="189" w:hanging="454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五、本會諮詢小組幕僚作業，由本會綜合計畫處兼辦。</w:t>
            </w:r>
          </w:p>
        </w:tc>
        <w:tc>
          <w:tcPr>
            <w:tcW w:w="3754" w:type="dxa"/>
          </w:tcPr>
          <w:p w:rsidR="00793186" w:rsidRPr="00D93843" w:rsidRDefault="00793186" w:rsidP="00793186">
            <w:pPr>
              <w:snapToGrid w:val="0"/>
              <w:spacing w:line="400" w:lineRule="exact"/>
              <w:rPr>
                <w:szCs w:val="24"/>
              </w:rPr>
            </w:pPr>
          </w:p>
        </w:tc>
        <w:tc>
          <w:tcPr>
            <w:tcW w:w="2228" w:type="dxa"/>
          </w:tcPr>
          <w:p w:rsidR="0001173C" w:rsidRPr="00D93843" w:rsidRDefault="0001173C" w:rsidP="0001173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一、本點新增。</w:t>
            </w:r>
          </w:p>
          <w:p w:rsidR="00793186" w:rsidRPr="00D93843" w:rsidRDefault="0001173C" w:rsidP="0001173C">
            <w:pPr>
              <w:snapToGrid w:val="0"/>
              <w:spacing w:line="40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二、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為敘述本會政府資料開放諮詢小組運作架構，</w:t>
            </w:r>
            <w:proofErr w:type="gramStart"/>
            <w:r w:rsidR="00793186" w:rsidRPr="00D93843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793186" w:rsidRPr="00D93843">
              <w:rPr>
                <w:rFonts w:ascii="標楷體" w:eastAsia="標楷體" w:hAnsi="標楷體" w:hint="eastAsia"/>
                <w:szCs w:val="24"/>
              </w:rPr>
              <w:t>新增本點。</w:t>
            </w:r>
          </w:p>
        </w:tc>
      </w:tr>
      <w:tr w:rsidR="00AC3FDB" w:rsidRPr="00793186" w:rsidTr="00793186">
        <w:tc>
          <w:tcPr>
            <w:tcW w:w="3754" w:type="dxa"/>
          </w:tcPr>
          <w:p w:rsidR="00F47ED2" w:rsidRPr="00D93843" w:rsidRDefault="00793186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六</w:t>
            </w:r>
            <w:r w:rsidR="00F47ED2" w:rsidRPr="00D93843">
              <w:rPr>
                <w:rFonts w:ascii="標楷體" w:eastAsia="標楷體" w:hAnsi="標楷體" w:hint="eastAsia"/>
                <w:szCs w:val="24"/>
              </w:rPr>
              <w:t>、</w:t>
            </w:r>
            <w:r w:rsidR="00F47ED2" w:rsidRPr="00D93843">
              <w:rPr>
                <w:rFonts w:ascii="標楷體" w:eastAsia="標楷體" w:hAnsi="標楷體" w:hint="eastAsia"/>
                <w:szCs w:val="24"/>
              </w:rPr>
              <w:tab/>
              <w:t>諮詢小組召開會議方式：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每季以召開一次為原則，每年不低於二次，並得視需要召開臨時會議。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諮詢小組召開會議時，由召集人召集並擔任會議主席。召集人因故未能出席會議時，得指定委員一人代理之。</w:t>
            </w:r>
          </w:p>
          <w:p w:rsidR="00AC3FDB" w:rsidRPr="00D93843" w:rsidRDefault="00F47ED2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諮詢小組應有委員總數二分之一以上出席，出席委員中之民間代表應至少二人，且不得</w:t>
            </w: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少於出席人數之三分之一，始得開會。</w:t>
            </w:r>
          </w:p>
          <w:p w:rsidR="00793186" w:rsidRPr="00D93843" w:rsidRDefault="00793186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(四)視需要得邀請相關人員列席說明之。</w:t>
            </w:r>
          </w:p>
        </w:tc>
        <w:tc>
          <w:tcPr>
            <w:tcW w:w="3754" w:type="dxa"/>
          </w:tcPr>
          <w:p w:rsidR="00AC3FDB" w:rsidRPr="00D93843" w:rsidRDefault="00AC3FDB" w:rsidP="00793186">
            <w:pPr>
              <w:snapToGrid w:val="0"/>
              <w:spacing w:line="400" w:lineRule="exact"/>
              <w:rPr>
                <w:szCs w:val="24"/>
              </w:rPr>
            </w:pPr>
          </w:p>
        </w:tc>
        <w:tc>
          <w:tcPr>
            <w:tcW w:w="2228" w:type="dxa"/>
          </w:tcPr>
          <w:p w:rsidR="0001173C" w:rsidRPr="00D93843" w:rsidRDefault="0001173C" w:rsidP="0001173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一、本點新增。</w:t>
            </w:r>
          </w:p>
          <w:p w:rsidR="00AC3FDB" w:rsidRPr="00D93843" w:rsidRDefault="0001173C" w:rsidP="0001173C">
            <w:pPr>
              <w:snapToGrid w:val="0"/>
              <w:spacing w:line="40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二、</w:t>
            </w:r>
            <w:r w:rsidR="003D31EF" w:rsidRPr="00D93843">
              <w:rPr>
                <w:rFonts w:ascii="標楷體" w:eastAsia="標楷體" w:hAnsi="標楷體" w:hint="eastAsia"/>
                <w:szCs w:val="24"/>
              </w:rPr>
              <w:t>為本會政府資料開放諮詢小組召開會議方式，</w:t>
            </w:r>
            <w:proofErr w:type="gramStart"/>
            <w:r w:rsidR="003D31EF" w:rsidRPr="00D93843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F47ED2" w:rsidRPr="00D93843">
              <w:rPr>
                <w:rFonts w:ascii="標楷體" w:eastAsia="標楷體" w:hAnsi="標楷體" w:hint="eastAsia"/>
                <w:szCs w:val="24"/>
              </w:rPr>
              <w:t>新增</w:t>
            </w:r>
            <w:r w:rsidR="003D31EF" w:rsidRPr="00D93843">
              <w:rPr>
                <w:rFonts w:ascii="標楷體" w:eastAsia="標楷體" w:hAnsi="標楷體" w:hint="eastAsia"/>
                <w:szCs w:val="24"/>
              </w:rPr>
              <w:t>本點。</w:t>
            </w:r>
          </w:p>
        </w:tc>
      </w:tr>
      <w:tr w:rsidR="00F47ED2" w:rsidRPr="00793186" w:rsidTr="00793186">
        <w:tc>
          <w:tcPr>
            <w:tcW w:w="3754" w:type="dxa"/>
          </w:tcPr>
          <w:p w:rsidR="00F47ED2" w:rsidRPr="00D93843" w:rsidRDefault="000022E2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七</w:t>
            </w:r>
            <w:r w:rsidR="00F47ED2" w:rsidRPr="00D93843">
              <w:rPr>
                <w:rFonts w:hint="eastAsia"/>
                <w:szCs w:val="24"/>
              </w:rPr>
              <w:t>、</w:t>
            </w:r>
            <w:r w:rsidR="00F47ED2" w:rsidRPr="00D93843">
              <w:rPr>
                <w:rFonts w:ascii="標楷體" w:eastAsia="標楷體" w:hAnsi="標楷體" w:hint="eastAsia"/>
                <w:szCs w:val="24"/>
              </w:rPr>
              <w:tab/>
              <w:t>績效目標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持續推動資料開放，開放資料集檔案格式以達成資料三星以上格式為目標(請參閱附件)，不須使用特定軟體或硬體即可取用資料集內容，其資料欄位定義應明確、可量化且電腦可解析處理。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隨時關注民眾於政府資料開放平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上之意見，達成每件七日內，平均四日內回覆目標，及統計回復滿意度(喜歡／不喜歡)逾百分之八十以上。</w:t>
            </w:r>
          </w:p>
        </w:tc>
        <w:tc>
          <w:tcPr>
            <w:tcW w:w="3754" w:type="dxa"/>
          </w:tcPr>
          <w:p w:rsidR="00F47ED2" w:rsidRPr="00D93843" w:rsidRDefault="00F47ED2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六</w:t>
            </w:r>
            <w:r w:rsidRPr="00D93843">
              <w:rPr>
                <w:rFonts w:hint="eastAsia"/>
                <w:szCs w:val="24"/>
              </w:rPr>
              <w:t>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績效目標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持續推動資料開放，開放資料集檔案格式以達成資料三星以上格式為目標(請參閱附件)，不須使用特定軟體或硬體即可取用資料集內容，其資料欄位定義應明確、可量化且電腦可解析處理。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11" w:hangingChars="213" w:hanging="511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隨時關注民眾於政府資料開放平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上之意見，達成每件七日內，平均四日內回覆目標，及統計回復滿意度(喜歡／不喜歡)逾百分之八十以上。</w:t>
            </w:r>
          </w:p>
        </w:tc>
        <w:tc>
          <w:tcPr>
            <w:tcW w:w="2228" w:type="dxa"/>
          </w:tcPr>
          <w:p w:rsidR="00F47ED2" w:rsidRPr="00D93843" w:rsidRDefault="0001173C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點</w:t>
            </w:r>
            <w:r w:rsidR="000022E2" w:rsidRPr="00D93843">
              <w:rPr>
                <w:rFonts w:ascii="標楷體" w:eastAsia="標楷體" w:hAnsi="標楷體" w:hint="eastAsia"/>
                <w:szCs w:val="24"/>
              </w:rPr>
              <w:t>次調整</w:t>
            </w:r>
            <w:proofErr w:type="gramEnd"/>
          </w:p>
        </w:tc>
      </w:tr>
      <w:tr w:rsidR="00F47ED2" w:rsidRPr="00793186" w:rsidTr="00793186">
        <w:tc>
          <w:tcPr>
            <w:tcW w:w="3754" w:type="dxa"/>
          </w:tcPr>
          <w:p w:rsidR="00F47ED2" w:rsidRPr="00D93843" w:rsidRDefault="000022E2" w:rsidP="00793186">
            <w:pPr>
              <w:snapToGrid w:val="0"/>
              <w:spacing w:line="400" w:lineRule="exact"/>
              <w:ind w:left="595" w:hangingChars="248" w:hanging="595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八</w:t>
            </w:r>
            <w:r w:rsidR="00F47ED2" w:rsidRPr="00D93843">
              <w:rPr>
                <w:rFonts w:ascii="標楷體" w:eastAsia="標楷體" w:hAnsi="標楷體" w:hint="eastAsia"/>
                <w:szCs w:val="24"/>
              </w:rPr>
              <w:t>、</w:t>
            </w:r>
            <w:r w:rsidR="00F47ED2" w:rsidRPr="00D93843">
              <w:rPr>
                <w:rFonts w:ascii="標楷體" w:eastAsia="標楷體" w:hAnsi="標楷體" w:hint="eastAsia"/>
                <w:szCs w:val="24"/>
              </w:rPr>
              <w:tab/>
              <w:t>資料開放期程</w:t>
            </w:r>
            <w:r w:rsidR="00793186" w:rsidRPr="00D93843">
              <w:rPr>
                <w:rFonts w:ascii="標楷體" w:eastAsia="標楷體" w:hAnsi="標楷體" w:hint="eastAsia"/>
                <w:szCs w:val="24"/>
              </w:rPr>
              <w:t>：開放檔案及資料格式以資料三星以上格式為原則，並視需要適時調整之。</w:t>
            </w:r>
          </w:p>
        </w:tc>
        <w:tc>
          <w:tcPr>
            <w:tcW w:w="3754" w:type="dxa"/>
          </w:tcPr>
          <w:p w:rsidR="00F47ED2" w:rsidRPr="00D93843" w:rsidRDefault="00F47ED2" w:rsidP="00793186">
            <w:pPr>
              <w:snapToGrid w:val="0"/>
              <w:spacing w:line="400" w:lineRule="exact"/>
              <w:ind w:leftChars="-15" w:left="530" w:hangingChars="236" w:hanging="566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七、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資料開放期程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28" w:hangingChars="220" w:hanging="528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一百零五年度起：檢討開放本會網站已公開之資訊，並盤點檢視本會所有資訊系統資料庫，提供可供開放之資料集。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28" w:hangingChars="220" w:hanging="528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一百零六年度：已開放資料集檔案格式達成資料三星以上格式者，達百分之八十以上。</w:t>
            </w:r>
          </w:p>
          <w:p w:rsidR="00F47ED2" w:rsidRPr="00D93843" w:rsidRDefault="00F47ED2" w:rsidP="00793186">
            <w:pPr>
              <w:snapToGrid w:val="0"/>
              <w:spacing w:line="400" w:lineRule="exact"/>
              <w:ind w:left="528" w:hangingChars="220" w:hanging="528"/>
              <w:rPr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一百零七年度：已開放資料集檔案格式達成資料三星以上格式者，達百分之九十以上。</w:t>
            </w:r>
          </w:p>
        </w:tc>
        <w:tc>
          <w:tcPr>
            <w:tcW w:w="2228" w:type="dxa"/>
          </w:tcPr>
          <w:p w:rsidR="000022E2" w:rsidRPr="00D93843" w:rsidRDefault="00875A89" w:rsidP="00875A8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點次調整</w:t>
            </w:r>
            <w:proofErr w:type="gramEnd"/>
            <w:r w:rsidR="00477C12" w:rsidRPr="00D93843">
              <w:rPr>
                <w:rFonts w:ascii="標楷體" w:eastAsia="標楷體" w:hAnsi="標楷體" w:hint="eastAsia"/>
                <w:szCs w:val="24"/>
              </w:rPr>
              <w:t>並設定本會開放資料格式目標為三星以上。</w:t>
            </w:r>
          </w:p>
        </w:tc>
      </w:tr>
      <w:tr w:rsidR="005D487C" w:rsidRPr="00793186" w:rsidTr="00793186">
        <w:tc>
          <w:tcPr>
            <w:tcW w:w="3754" w:type="dxa"/>
          </w:tcPr>
          <w:p w:rsidR="005D487C" w:rsidRPr="00D93843" w:rsidRDefault="000022E2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九</w:t>
            </w:r>
            <w:r w:rsidR="005D487C" w:rsidRPr="00D93843">
              <w:rPr>
                <w:rFonts w:ascii="標楷體" w:eastAsia="標楷體" w:hAnsi="標楷體" w:hint="eastAsia"/>
                <w:szCs w:val="24"/>
              </w:rPr>
              <w:t>、</w:t>
            </w:r>
            <w:r w:rsidR="005D487C" w:rsidRPr="00D93843">
              <w:rPr>
                <w:rFonts w:ascii="標楷體" w:eastAsia="標楷體" w:hAnsi="標楷體" w:hint="eastAsia"/>
                <w:szCs w:val="24"/>
              </w:rPr>
              <w:tab/>
              <w:t>資料開放原則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本會資料依政府資訊公開法規定公開，並以開放為原則。但敏感性資料、涉及著作權歸屬、法規（如個人資料保護</w:t>
            </w: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法、國家安全法等）或契約使用限制、機關有無授權第三人再利用權限及影響本會管制業務安全者，得不予開放。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本會開放資料以無償提供為原則，若需收費者，須經諮詢小組通過。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本會提供開放資料須為開放格式(Open Data Format)，部分圖、表檔案非開放格式者（如Excel、Word檔案），須轉換成開放格式再行提供。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(四)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資訊系統產出之資料集以結構化、去識別化、開放格式或應用程式介面(Web Service)方式呈現。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(五)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定期檢視已開放資料，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倘經確認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為外部運用，產生不當結果者，須經諮詢小組審議後不予開放。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(六)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經民眾申請要求開放，若不予開放或無法開放之資料，應提交諮詢小組討論確認。</w:t>
            </w:r>
          </w:p>
        </w:tc>
        <w:tc>
          <w:tcPr>
            <w:tcW w:w="3754" w:type="dxa"/>
          </w:tcPr>
          <w:p w:rsidR="005D487C" w:rsidRPr="00D93843" w:rsidRDefault="005D487C" w:rsidP="00555D5B">
            <w:pPr>
              <w:tabs>
                <w:tab w:val="left" w:pos="528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八、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資料開放原則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本會資料依政府資訊公開法規定公開，並以開放為原則。但敏感性資料、涉及著作權歸屬、法規（如個人資料保護</w:t>
            </w: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法、國家安全法等）或契約使用限制、機關有無授權第三人再利用權限及影響本會管制業務安全者，得不予開放。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本會開放資料以無償提供為原則，若需收費者，須經諮詢小組通過。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(三)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本會提供開放資料須為開放格式(Open Data Format)，部分圖、表檔案非開放格式者（如Excel、Word檔案），須轉換成開放格式再行提供。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(四)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資訊系統產出之資料集以結構化、去識別化、開放格式或應用程式介面(Web Service)方式呈現。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(五)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定期檢視已開放資料，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倘經確認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為外部運用，產生不當結果者，須經諮詢小組審議後不予開放。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(六)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經民眾申請要求開放，若不予開放或無法開放之資料，應提交諮詢小組討論確認。</w:t>
            </w:r>
          </w:p>
        </w:tc>
        <w:tc>
          <w:tcPr>
            <w:tcW w:w="2228" w:type="dxa"/>
          </w:tcPr>
          <w:p w:rsidR="005D487C" w:rsidRPr="00D93843" w:rsidRDefault="0001173C" w:rsidP="007931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點</w:t>
            </w:r>
            <w:r w:rsidR="000022E2" w:rsidRPr="00D93843">
              <w:rPr>
                <w:rFonts w:ascii="標楷體" w:eastAsia="標楷體" w:hAnsi="標楷體" w:hint="eastAsia"/>
                <w:szCs w:val="24"/>
              </w:rPr>
              <w:t>次調整</w:t>
            </w:r>
            <w:proofErr w:type="gramEnd"/>
          </w:p>
        </w:tc>
      </w:tr>
      <w:tr w:rsidR="005D487C" w:rsidRPr="00793186" w:rsidTr="00793186">
        <w:tc>
          <w:tcPr>
            <w:tcW w:w="3754" w:type="dxa"/>
          </w:tcPr>
          <w:p w:rsidR="005D487C" w:rsidRPr="00D93843" w:rsidRDefault="000022E2" w:rsidP="00793186">
            <w:pPr>
              <w:tabs>
                <w:tab w:val="left" w:pos="426"/>
                <w:tab w:val="left" w:pos="567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十</w:t>
            </w:r>
            <w:r w:rsidR="005D487C" w:rsidRPr="00D93843">
              <w:rPr>
                <w:rFonts w:ascii="標楷體" w:eastAsia="標楷體" w:hAnsi="標楷體" w:hint="eastAsia"/>
                <w:szCs w:val="24"/>
              </w:rPr>
              <w:t>、</w:t>
            </w:r>
            <w:r w:rsidR="005D487C" w:rsidRPr="00D93843">
              <w:rPr>
                <w:rFonts w:ascii="標楷體" w:eastAsia="標楷體" w:hAnsi="標楷體" w:hint="eastAsia"/>
                <w:szCs w:val="24"/>
              </w:rPr>
              <w:tab/>
              <w:t>預期成效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完善資料開放機制：優化本會資料開放作業程序，</w:t>
            </w:r>
            <w:r w:rsidR="00555D5B" w:rsidRPr="00D93843">
              <w:rPr>
                <w:rFonts w:ascii="標楷體" w:eastAsia="標楷體" w:hAnsi="標楷體" w:hint="eastAsia"/>
                <w:szCs w:val="24"/>
              </w:rPr>
              <w:t>健全</w:t>
            </w:r>
            <w:r w:rsidRPr="00D93843">
              <w:rPr>
                <w:rFonts w:ascii="標楷體" w:eastAsia="標楷體" w:hAnsi="標楷體" w:hint="eastAsia"/>
                <w:szCs w:val="24"/>
              </w:rPr>
              <w:t>整體資料開放</w:t>
            </w:r>
            <w:r w:rsidR="00555D5B" w:rsidRPr="00D93843">
              <w:rPr>
                <w:rFonts w:ascii="標楷體" w:eastAsia="標楷體" w:hAnsi="標楷體" w:hint="eastAsia"/>
                <w:szCs w:val="24"/>
              </w:rPr>
              <w:t>之運作</w:t>
            </w:r>
            <w:r w:rsidRPr="00D9384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487C" w:rsidRPr="00D93843" w:rsidRDefault="005D487C" w:rsidP="00555D5B">
            <w:pPr>
              <w:snapToGrid w:val="0"/>
              <w:spacing w:line="400" w:lineRule="exact"/>
              <w:ind w:left="511" w:hangingChars="213" w:hanging="511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(二)促進開放資料文化：</w:t>
            </w:r>
            <w:r w:rsidR="00555D5B" w:rsidRPr="00D93843">
              <w:rPr>
                <w:rFonts w:ascii="標楷體" w:eastAsia="標楷體" w:hAnsi="標楷體" w:hint="eastAsia"/>
                <w:szCs w:val="24"/>
              </w:rPr>
              <w:t>增進本會施政透明度，促進</w:t>
            </w:r>
            <w:r w:rsidRPr="00D93843">
              <w:rPr>
                <w:rFonts w:ascii="標楷體" w:eastAsia="標楷體" w:hAnsi="標楷體" w:hint="eastAsia"/>
                <w:szCs w:val="24"/>
              </w:rPr>
              <w:t>民間協作與回饋機制，</w:t>
            </w:r>
            <w:r w:rsidR="00055B6C" w:rsidRPr="00D93843">
              <w:rPr>
                <w:rFonts w:ascii="標楷體" w:eastAsia="標楷體" w:hAnsi="標楷體" w:hint="eastAsia"/>
                <w:szCs w:val="24"/>
              </w:rPr>
              <w:t>共</w:t>
            </w:r>
            <w:r w:rsidRPr="00D93843">
              <w:rPr>
                <w:rFonts w:ascii="標楷體" w:eastAsia="標楷體" w:hAnsi="標楷體" w:hint="eastAsia"/>
                <w:szCs w:val="24"/>
              </w:rPr>
              <w:t>同推動</w:t>
            </w:r>
            <w:r w:rsidR="00555D5B" w:rsidRPr="00D93843">
              <w:rPr>
                <w:rFonts w:ascii="標楷體" w:eastAsia="標楷體" w:hAnsi="標楷體" w:hint="eastAsia"/>
                <w:szCs w:val="24"/>
              </w:rPr>
              <w:t>服務創新</w:t>
            </w:r>
            <w:r w:rsidRPr="00D9384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754" w:type="dxa"/>
          </w:tcPr>
          <w:p w:rsidR="005D487C" w:rsidRPr="00D93843" w:rsidRDefault="005D487C" w:rsidP="00555D5B">
            <w:pPr>
              <w:tabs>
                <w:tab w:val="left" w:pos="669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七、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預期成效</w:t>
            </w:r>
          </w:p>
          <w:p w:rsidR="005D487C" w:rsidRPr="00D93843" w:rsidRDefault="005D487C" w:rsidP="00555D5B">
            <w:pPr>
              <w:tabs>
                <w:tab w:val="left" w:pos="528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運用資料輔助施政</w:t>
            </w:r>
          </w:p>
          <w:p w:rsidR="005D487C" w:rsidRPr="00D93843" w:rsidRDefault="005D487C" w:rsidP="00793186">
            <w:pPr>
              <w:snapToGrid w:val="0"/>
              <w:spacing w:line="400" w:lineRule="exact"/>
              <w:ind w:leftChars="177" w:left="425" w:firstLineChars="24" w:firstLine="58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重新定位資料價值，開放各項施政相關資料，並發展與民間互信合作關係，公私協力</w:t>
            </w:r>
            <w:bookmarkStart w:id="0" w:name="_GoBack"/>
            <w:bookmarkEnd w:id="0"/>
            <w:r w:rsidRPr="00D93843">
              <w:rPr>
                <w:rFonts w:ascii="標楷體" w:eastAsia="標楷體" w:hAnsi="標楷體" w:hint="eastAsia"/>
                <w:szCs w:val="24"/>
              </w:rPr>
              <w:t>翻轉服務軸線，應用資料以驅動政府再造，如開放災情資訊、淹水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潛勢圖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、海岸堤防資訊、電子地圖等，並結合人口、工商、社政、教育及醫療等統計</w:t>
            </w: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資料，透過跨機關資料整合運用，結合民間力量，將助益發展防救資訊整合服務，擴大全民公共利益，提升施政品質與效率。</w:t>
            </w:r>
          </w:p>
          <w:p w:rsidR="005D487C" w:rsidRPr="00D93843" w:rsidRDefault="005D487C" w:rsidP="00555D5B">
            <w:pPr>
              <w:tabs>
                <w:tab w:val="left" w:pos="528"/>
              </w:tabs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(二)</w:t>
            </w:r>
            <w:r w:rsidRPr="00D93843">
              <w:rPr>
                <w:rFonts w:ascii="標楷體" w:eastAsia="標楷體" w:hAnsi="標楷體" w:hint="eastAsia"/>
                <w:szCs w:val="24"/>
              </w:rPr>
              <w:tab/>
              <w:t>帶動民間經濟動能</w:t>
            </w:r>
          </w:p>
          <w:p w:rsidR="005D487C" w:rsidRPr="00D93843" w:rsidRDefault="005D487C" w:rsidP="00555D5B">
            <w:pPr>
              <w:snapToGrid w:val="0"/>
              <w:spacing w:line="400" w:lineRule="exact"/>
              <w:ind w:leftChars="177" w:left="425" w:firstLineChars="24" w:firstLine="58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結合民間社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群跨域合作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，提升資料開放與應用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鏈結綜效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，建構資料生態圈，驅動資料經濟發展，開放經濟及公共利益相關資料，如公共運輸、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地理圖資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、住宅貸款、空氣品質等資料，並運用培育及補助等機制，助益產業應用。另輔以培育運用開放資料所需人才，期帶動資料開放服務產業發展及民間經濟動能。</w:t>
            </w:r>
          </w:p>
        </w:tc>
        <w:tc>
          <w:tcPr>
            <w:tcW w:w="2228" w:type="dxa"/>
          </w:tcPr>
          <w:p w:rsidR="0001173C" w:rsidRPr="00D93843" w:rsidRDefault="0001173C" w:rsidP="0001173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lastRenderedPageBreak/>
              <w:t>一、</w:t>
            </w:r>
            <w:proofErr w:type="gramStart"/>
            <w:r w:rsidRPr="00D93843">
              <w:rPr>
                <w:rFonts w:ascii="標楷體" w:eastAsia="標楷體" w:hAnsi="標楷體" w:hint="eastAsia"/>
                <w:szCs w:val="24"/>
              </w:rPr>
              <w:t>點次調</w:t>
            </w:r>
            <w:proofErr w:type="gramEnd"/>
            <w:r w:rsidRPr="00D93843">
              <w:rPr>
                <w:rFonts w:ascii="標楷體" w:eastAsia="標楷體" w:hAnsi="標楷體" w:hint="eastAsia"/>
                <w:szCs w:val="24"/>
              </w:rPr>
              <w:t>正。</w:t>
            </w:r>
          </w:p>
          <w:p w:rsidR="005D487C" w:rsidRPr="00D93843" w:rsidRDefault="0001173C" w:rsidP="0001173C">
            <w:pPr>
              <w:snapToGrid w:val="0"/>
              <w:spacing w:line="40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D93843">
              <w:rPr>
                <w:rFonts w:ascii="標楷體" w:eastAsia="標楷體" w:hAnsi="標楷體" w:hint="eastAsia"/>
                <w:szCs w:val="24"/>
              </w:rPr>
              <w:t>二、</w:t>
            </w:r>
            <w:r w:rsidR="003D31EF" w:rsidRPr="00D93843">
              <w:rPr>
                <w:rFonts w:ascii="標楷體" w:eastAsia="標楷體" w:hAnsi="標楷體" w:hint="eastAsia"/>
                <w:szCs w:val="24"/>
              </w:rPr>
              <w:t>為更貼近本行動策略目標及本會作業，</w:t>
            </w:r>
            <w:proofErr w:type="gramStart"/>
            <w:r w:rsidR="003D31EF" w:rsidRPr="00D93843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3D31EF" w:rsidRPr="00D93843">
              <w:rPr>
                <w:rFonts w:ascii="標楷體" w:eastAsia="標楷體" w:hAnsi="標楷體" w:hint="eastAsia"/>
                <w:szCs w:val="24"/>
              </w:rPr>
              <w:t>修整</w:t>
            </w:r>
            <w:r w:rsidR="00055B6C" w:rsidRPr="00D93843">
              <w:rPr>
                <w:rFonts w:ascii="標楷體" w:eastAsia="標楷體" w:hAnsi="標楷體" w:hint="eastAsia"/>
                <w:szCs w:val="24"/>
              </w:rPr>
              <w:t>本點</w:t>
            </w:r>
            <w:r w:rsidR="003D31EF" w:rsidRPr="00D93843">
              <w:rPr>
                <w:rFonts w:ascii="標楷體" w:eastAsia="標楷體" w:hAnsi="標楷體" w:hint="eastAsia"/>
                <w:szCs w:val="24"/>
              </w:rPr>
              <w:t>內容。</w:t>
            </w:r>
          </w:p>
        </w:tc>
      </w:tr>
    </w:tbl>
    <w:p w:rsidR="005D487C" w:rsidRDefault="005D487C"/>
    <w:p w:rsidR="005D487C" w:rsidRDefault="005D487C">
      <w:pPr>
        <w:widowControl/>
      </w:pPr>
      <w:r>
        <w:br w:type="page"/>
      </w:r>
    </w:p>
    <w:p w:rsidR="005D487C" w:rsidRPr="005D487C" w:rsidRDefault="005D487C" w:rsidP="005D487C">
      <w:pPr>
        <w:snapToGrid w:val="0"/>
        <w:spacing w:line="520" w:lineRule="exact"/>
        <w:ind w:left="2" w:hanging="2"/>
        <w:jc w:val="both"/>
        <w:rPr>
          <w:rFonts w:ascii="標楷體" w:eastAsia="標楷體" w:hAnsi="標楷體" w:cs="Times New Roman"/>
          <w:szCs w:val="24"/>
        </w:rPr>
      </w:pPr>
      <w:bookmarkStart w:id="1" w:name="_Toc436847802"/>
      <w:r w:rsidRPr="005D487C">
        <w:rPr>
          <w:rFonts w:ascii="標楷體" w:eastAsia="標楷體" w:hAnsi="標楷體" w:cs="Times New Roman" w:hint="eastAsia"/>
          <w:szCs w:val="24"/>
        </w:rPr>
        <w:lastRenderedPageBreak/>
        <w:t>附件、</w:t>
      </w:r>
      <w:r w:rsidRPr="005D487C">
        <w:rPr>
          <w:rFonts w:ascii="標楷體" w:eastAsia="標楷體" w:hAnsi="標楷體" w:cs="Times New Roman"/>
          <w:szCs w:val="24"/>
        </w:rPr>
        <w:t>資料</w:t>
      </w:r>
      <w:r w:rsidR="0001173C" w:rsidRPr="0001173C">
        <w:rPr>
          <w:rFonts w:ascii="標楷體" w:eastAsia="標楷體" w:hAnsi="標楷體" w:cs="Times New Roman" w:hint="eastAsia"/>
          <w:color w:val="0070C0"/>
          <w:szCs w:val="24"/>
        </w:rPr>
        <w:t>五</w:t>
      </w:r>
      <w:r w:rsidRPr="005D487C">
        <w:rPr>
          <w:rFonts w:ascii="標楷體" w:eastAsia="標楷體" w:hAnsi="標楷體" w:cs="Times New Roman" w:hint="eastAsia"/>
          <w:szCs w:val="24"/>
        </w:rPr>
        <w:t>顆</w:t>
      </w:r>
      <w:r w:rsidRPr="005D487C">
        <w:rPr>
          <w:rFonts w:ascii="標楷體" w:eastAsia="標楷體" w:hAnsi="標楷體" w:cs="Times New Roman"/>
          <w:szCs w:val="24"/>
        </w:rPr>
        <w:t>星評等</w:t>
      </w:r>
      <w:bookmarkEnd w:id="1"/>
    </w:p>
    <w:p w:rsidR="005D487C" w:rsidRPr="005D487C" w:rsidRDefault="005D487C" w:rsidP="005D487C">
      <w:pPr>
        <w:snapToGrid w:val="0"/>
        <w:spacing w:line="520" w:lineRule="exact"/>
        <w:ind w:leftChars="295" w:left="709" w:hanging="1"/>
        <w:jc w:val="both"/>
        <w:rPr>
          <w:rFonts w:ascii="標楷體" w:eastAsia="標楷體" w:hAnsi="標楷體" w:cs="Times New Roman"/>
          <w:szCs w:val="24"/>
        </w:rPr>
      </w:pPr>
      <w:r w:rsidRPr="005D487C">
        <w:rPr>
          <w:rFonts w:ascii="標楷體" w:eastAsia="標楷體" w:hAnsi="標楷體" w:cs="Times New Roman" w:hint="eastAsia"/>
          <w:szCs w:val="24"/>
        </w:rPr>
        <w:t>英國學者提</w:t>
      </w:r>
      <w:proofErr w:type="gramStart"/>
      <w:r w:rsidRPr="005D487C">
        <w:rPr>
          <w:rFonts w:ascii="標楷體" w:eastAsia="標楷體" w:hAnsi="標楷體" w:cs="Times New Roman" w:hint="eastAsia"/>
          <w:szCs w:val="24"/>
        </w:rPr>
        <w:t>姆</w:t>
      </w:r>
      <w:proofErr w:type="gramEnd"/>
      <w:r w:rsidRPr="005D487C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Pr="005D487C">
        <w:rPr>
          <w:rFonts w:ascii="標楷體" w:eastAsia="標楷體" w:hAnsi="標楷體" w:cs="Times New Roman" w:hint="eastAsia"/>
          <w:szCs w:val="24"/>
        </w:rPr>
        <w:t>·</w:t>
      </w:r>
      <w:proofErr w:type="gramEnd"/>
      <w:r w:rsidRPr="005D487C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Pr="005D487C">
        <w:rPr>
          <w:rFonts w:ascii="標楷體" w:eastAsia="標楷體" w:hAnsi="標楷體" w:cs="Times New Roman" w:hint="eastAsia"/>
          <w:szCs w:val="24"/>
        </w:rPr>
        <w:t>柏納</w:t>
      </w:r>
      <w:proofErr w:type="gramEnd"/>
      <w:r w:rsidRPr="005D487C">
        <w:rPr>
          <w:rFonts w:ascii="標楷體" w:eastAsia="標楷體" w:hAnsi="標楷體" w:cs="Times New Roman" w:hint="eastAsia"/>
          <w:szCs w:val="24"/>
        </w:rPr>
        <w:t>- 李(Tim Berners-Lee)為鼓勵政府推動開放資料，於</w:t>
      </w:r>
      <w:r w:rsidRPr="005D487C">
        <w:rPr>
          <w:rFonts w:ascii="標楷體" w:eastAsia="標楷體" w:hAnsi="標楷體" w:cs="Times New Roman" w:hint="eastAsia"/>
          <w:color w:val="FF0000"/>
          <w:szCs w:val="24"/>
        </w:rPr>
        <w:t>二零一零</w:t>
      </w:r>
      <w:r w:rsidRPr="005D487C">
        <w:rPr>
          <w:rFonts w:ascii="標楷體" w:eastAsia="標楷體" w:hAnsi="標楷體" w:cs="Times New Roman" w:hint="eastAsia"/>
          <w:szCs w:val="24"/>
        </w:rPr>
        <w:t>年提出</w:t>
      </w:r>
      <w:r w:rsidRPr="005D487C">
        <w:rPr>
          <w:rFonts w:ascii="標楷體" w:eastAsia="標楷體" w:hAnsi="標楷體" w:cs="Times New Roman" w:hint="eastAsia"/>
          <w:color w:val="FF0000"/>
          <w:szCs w:val="24"/>
        </w:rPr>
        <w:t>五</w:t>
      </w:r>
      <w:r w:rsidRPr="005D487C">
        <w:rPr>
          <w:rFonts w:ascii="標楷體" w:eastAsia="標楷體" w:hAnsi="標楷體" w:cs="Times New Roman" w:hint="eastAsia"/>
          <w:szCs w:val="24"/>
        </w:rPr>
        <w:t>顆星評等建議，每一星等在授權利用基礎下，</w:t>
      </w:r>
      <w:proofErr w:type="gramStart"/>
      <w:r w:rsidRPr="005D487C">
        <w:rPr>
          <w:rFonts w:ascii="標楷體" w:eastAsia="標楷體" w:hAnsi="標楷體" w:cs="Times New Roman" w:hint="eastAsia"/>
          <w:szCs w:val="24"/>
        </w:rPr>
        <w:t>均為開放</w:t>
      </w:r>
      <w:proofErr w:type="gramEnd"/>
      <w:r w:rsidRPr="005D487C">
        <w:rPr>
          <w:rFonts w:ascii="標楷體" w:eastAsia="標楷體" w:hAnsi="標楷體" w:cs="Times New Roman" w:hint="eastAsia"/>
          <w:szCs w:val="24"/>
        </w:rPr>
        <w:t>資料。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28"/>
        <w:gridCol w:w="2410"/>
      </w:tblGrid>
      <w:tr w:rsidR="005D487C" w:rsidRPr="005D487C" w:rsidTr="00BD5828">
        <w:trPr>
          <w:trHeight w:val="261"/>
          <w:tblHeader/>
        </w:trPr>
        <w:tc>
          <w:tcPr>
            <w:tcW w:w="1560" w:type="dxa"/>
            <w:shd w:val="clear" w:color="auto" w:fill="F4B083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星等</w:t>
            </w:r>
          </w:p>
        </w:tc>
        <w:tc>
          <w:tcPr>
            <w:tcW w:w="5528" w:type="dxa"/>
            <w:shd w:val="clear" w:color="auto" w:fill="F4B083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說明</w:t>
            </w:r>
          </w:p>
        </w:tc>
        <w:tc>
          <w:tcPr>
            <w:tcW w:w="2410" w:type="dxa"/>
            <w:shd w:val="clear" w:color="auto" w:fill="F4B083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格式範例</w:t>
            </w:r>
          </w:p>
        </w:tc>
      </w:tr>
      <w:tr w:rsidR="005D487C" w:rsidRPr="005D487C" w:rsidTr="00BD5828">
        <w:trPr>
          <w:trHeight w:val="624"/>
        </w:trPr>
        <w:tc>
          <w:tcPr>
            <w:tcW w:w="1560" w:type="dxa"/>
            <w:shd w:val="clear" w:color="auto" w:fill="auto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一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資料公開上網，格式不均，開放授權</w:t>
            </w:r>
          </w:p>
        </w:tc>
        <w:tc>
          <w:tcPr>
            <w:tcW w:w="2410" w:type="dxa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PDF、JPG、DOC</w:t>
            </w:r>
          </w:p>
        </w:tc>
      </w:tr>
      <w:tr w:rsidR="005D487C" w:rsidRPr="005D487C" w:rsidTr="00BD5828">
        <w:trPr>
          <w:trHeight w:val="624"/>
        </w:trPr>
        <w:tc>
          <w:tcPr>
            <w:tcW w:w="1560" w:type="dxa"/>
            <w:shd w:val="clear" w:color="auto" w:fill="auto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二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提供</w:t>
            </w:r>
            <w:r w:rsidRPr="005D48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機器可讀、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結構化的資料</w:t>
            </w:r>
          </w:p>
        </w:tc>
        <w:tc>
          <w:tcPr>
            <w:tcW w:w="2410" w:type="dxa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Excel</w:t>
            </w:r>
          </w:p>
        </w:tc>
      </w:tr>
      <w:tr w:rsidR="005D487C" w:rsidRPr="005D487C" w:rsidTr="00BD5828">
        <w:trPr>
          <w:trHeight w:val="624"/>
        </w:trPr>
        <w:tc>
          <w:tcPr>
            <w:tcW w:w="1560" w:type="dxa"/>
            <w:shd w:val="clear" w:color="auto" w:fill="auto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三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提供</w:t>
            </w:r>
            <w:r w:rsidRPr="005D48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機器可讀、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結構化的資料</w:t>
            </w:r>
            <w:r w:rsidRPr="005D48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，且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使用非專屬的資料格式</w:t>
            </w:r>
          </w:p>
        </w:tc>
        <w:tc>
          <w:tcPr>
            <w:tcW w:w="2410" w:type="dxa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CSV、XML、JSON</w:t>
            </w:r>
          </w:p>
        </w:tc>
      </w:tr>
      <w:tr w:rsidR="005D487C" w:rsidRPr="005D487C" w:rsidTr="00BD5828">
        <w:trPr>
          <w:trHeight w:val="624"/>
        </w:trPr>
        <w:tc>
          <w:tcPr>
            <w:tcW w:w="1560" w:type="dxa"/>
            <w:shd w:val="clear" w:color="auto" w:fill="auto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四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包含</w:t>
            </w:r>
            <w:r w:rsidRPr="005D487C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三</w:t>
            </w:r>
            <w:r w:rsidRPr="005D48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星，並可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使用 URI </w:t>
            </w:r>
            <w:proofErr w:type="gramStart"/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來標定</w:t>
            </w:r>
            <w:proofErr w:type="gramEnd"/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資料，讓人/機器可以直接標示/存取/運用資料集裡的每一個單筆資料</w:t>
            </w:r>
          </w:p>
        </w:tc>
        <w:tc>
          <w:tcPr>
            <w:tcW w:w="2410" w:type="dxa"/>
          </w:tcPr>
          <w:p w:rsidR="005D487C" w:rsidRPr="005D487C" w:rsidRDefault="005D487C" w:rsidP="005D487C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RDF、SPARQL</w:t>
            </w:r>
          </w:p>
        </w:tc>
      </w:tr>
      <w:tr w:rsidR="005D487C" w:rsidRPr="005D487C" w:rsidTr="00BD5828">
        <w:trPr>
          <w:trHeight w:val="624"/>
        </w:trPr>
        <w:tc>
          <w:tcPr>
            <w:tcW w:w="1560" w:type="dxa"/>
            <w:shd w:val="clear" w:color="auto" w:fill="auto"/>
          </w:tcPr>
          <w:p w:rsidR="005D487C" w:rsidRPr="005D487C" w:rsidRDefault="005D487C" w:rsidP="005D487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五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星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D487C" w:rsidRPr="005D487C" w:rsidRDefault="005D487C" w:rsidP="005D487C">
            <w:pPr>
              <w:keepNext/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8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包含</w:t>
            </w:r>
            <w:r w:rsidRPr="005D487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四</w:t>
            </w:r>
            <w:r w:rsidRPr="005D48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星，並可</w:t>
            </w:r>
            <w:r w:rsidRPr="005D487C">
              <w:rPr>
                <w:rFonts w:ascii="標楷體" w:eastAsia="標楷體" w:hAnsi="標楷體" w:cs="Times New Roman"/>
                <w:color w:val="000000"/>
                <w:szCs w:val="24"/>
              </w:rPr>
              <w:t>將資料與其他資料進行連結，建立/提供脈絡</w:t>
            </w:r>
          </w:p>
        </w:tc>
      </w:tr>
    </w:tbl>
    <w:p w:rsidR="005D487C" w:rsidRPr="005D487C" w:rsidRDefault="005D487C" w:rsidP="005D487C">
      <w:pPr>
        <w:snapToGrid w:val="0"/>
        <w:spacing w:line="520" w:lineRule="exact"/>
        <w:ind w:leftChars="177" w:left="850" w:hangingChars="177" w:hanging="425"/>
        <w:jc w:val="both"/>
        <w:rPr>
          <w:rFonts w:ascii="Calibri" w:eastAsia="微軟正黑體" w:hAnsi="Calibri" w:cs="Times New Roman"/>
          <w:sz w:val="32"/>
        </w:rPr>
      </w:pPr>
      <w:proofErr w:type="gramStart"/>
      <w:r w:rsidRPr="005D487C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5D487C">
        <w:rPr>
          <w:rFonts w:ascii="標楷體" w:eastAsia="標楷體" w:hAnsi="標楷體" w:cs="Times New Roman" w:hint="eastAsia"/>
          <w:szCs w:val="24"/>
        </w:rPr>
        <w:t>：上表「格式範例」所列僅為部分格式，符合「說明」欄內之資料性質，均可屬於該星等。</w:t>
      </w:r>
    </w:p>
    <w:p w:rsidR="00FF25F9" w:rsidRPr="005D487C" w:rsidRDefault="00FF25F9"/>
    <w:sectPr w:rsidR="00FF25F9" w:rsidRPr="005D487C" w:rsidSect="005A72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F9"/>
    <w:rsid w:val="000022E2"/>
    <w:rsid w:val="0001173C"/>
    <w:rsid w:val="00055B6C"/>
    <w:rsid w:val="002572A2"/>
    <w:rsid w:val="00304724"/>
    <w:rsid w:val="003B7D96"/>
    <w:rsid w:val="003D31EF"/>
    <w:rsid w:val="00477C12"/>
    <w:rsid w:val="00555D5B"/>
    <w:rsid w:val="005A726B"/>
    <w:rsid w:val="005D487C"/>
    <w:rsid w:val="006B67BB"/>
    <w:rsid w:val="00793186"/>
    <w:rsid w:val="0081004A"/>
    <w:rsid w:val="00812B5D"/>
    <w:rsid w:val="00875A89"/>
    <w:rsid w:val="00AC3FDB"/>
    <w:rsid w:val="00BD5828"/>
    <w:rsid w:val="00BF14DB"/>
    <w:rsid w:val="00C51CFB"/>
    <w:rsid w:val="00C94165"/>
    <w:rsid w:val="00D93843"/>
    <w:rsid w:val="00F47ED2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李惠珍</dc:creator>
  <cp:lastModifiedBy>李惠珍</cp:lastModifiedBy>
  <cp:revision>5</cp:revision>
  <dcterms:created xsi:type="dcterms:W3CDTF">2017-12-26T01:14:00Z</dcterms:created>
  <dcterms:modified xsi:type="dcterms:W3CDTF">2017-12-26T01:28:00Z</dcterms:modified>
</cp:coreProperties>
</file>