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87" w:rsidRPr="001E7D73" w:rsidRDefault="00755087" w:rsidP="00096C68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40"/>
        </w:rPr>
      </w:pPr>
      <w:r w:rsidRPr="001E7D73">
        <w:rPr>
          <w:rFonts w:ascii="Times New Roman" w:eastAsia="標楷體" w:hAnsi="Times New Roman" w:cs="Times New Roman"/>
          <w:b/>
          <w:sz w:val="32"/>
          <w:szCs w:val="40"/>
          <w:lang w:eastAsia="zh-HK"/>
        </w:rPr>
        <w:t>行政院原子能委員會</w:t>
      </w:r>
      <w:r w:rsidRPr="001E7D73">
        <w:rPr>
          <w:rFonts w:ascii="Times New Roman" w:eastAsia="標楷體" w:hAnsi="Times New Roman" w:cs="Times New Roman"/>
          <w:b/>
          <w:sz w:val="32"/>
          <w:szCs w:val="40"/>
        </w:rPr>
        <w:t>「政府資料開放行動策略」</w:t>
      </w:r>
      <w:bookmarkStart w:id="0" w:name="_GoBack"/>
      <w:bookmarkEnd w:id="0"/>
    </w:p>
    <w:p w:rsidR="00755087" w:rsidRDefault="000F7129" w:rsidP="00096C68">
      <w:pPr>
        <w:spacing w:line="360" w:lineRule="auto"/>
        <w:jc w:val="right"/>
        <w:rPr>
          <w:rFonts w:ascii="Times New Roman" w:eastAsia="標楷體" w:hAnsi="Times New Roman" w:cs="Times New Roman"/>
        </w:rPr>
      </w:pPr>
      <w:r w:rsidRPr="001E7D73">
        <w:rPr>
          <w:rFonts w:ascii="Times New Roman" w:eastAsia="標楷體" w:hAnsi="Times New Roman" w:cs="Times New Roman"/>
        </w:rPr>
        <w:t>106</w:t>
      </w:r>
      <w:r w:rsidR="00755087" w:rsidRPr="001E7D73">
        <w:rPr>
          <w:rFonts w:ascii="Times New Roman" w:eastAsia="標楷體" w:hAnsi="Times New Roman" w:cs="Times New Roman"/>
        </w:rPr>
        <w:t>年</w:t>
      </w:r>
      <w:r w:rsidR="00755087" w:rsidRPr="001E7D73">
        <w:rPr>
          <w:rFonts w:ascii="Times New Roman" w:eastAsia="標楷體" w:hAnsi="Times New Roman" w:cs="Times New Roman"/>
        </w:rPr>
        <w:t>1</w:t>
      </w:r>
      <w:r w:rsidRPr="001E7D73">
        <w:rPr>
          <w:rFonts w:ascii="Times New Roman" w:eastAsia="標楷體" w:hAnsi="Times New Roman" w:cs="Times New Roman"/>
        </w:rPr>
        <w:t>2</w:t>
      </w:r>
      <w:r w:rsidR="00755087" w:rsidRPr="001E7D73">
        <w:rPr>
          <w:rFonts w:ascii="Times New Roman" w:eastAsia="標楷體" w:hAnsi="Times New Roman" w:cs="Times New Roman"/>
        </w:rPr>
        <w:t>月</w:t>
      </w:r>
    </w:p>
    <w:p w:rsidR="008F5388" w:rsidRPr="00096C68" w:rsidRDefault="008F5388" w:rsidP="00096C68">
      <w:pPr>
        <w:numPr>
          <w:ilvl w:val="0"/>
          <w:numId w:val="1"/>
        </w:num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 w:val="32"/>
        </w:rPr>
      </w:pPr>
      <w:r w:rsidRPr="00096C68">
        <w:rPr>
          <w:rFonts w:ascii="Times New Roman" w:eastAsia="標楷體" w:hAnsi="Times New Roman" w:cs="Times New Roman" w:hint="eastAsia"/>
          <w:b/>
          <w:sz w:val="32"/>
        </w:rPr>
        <w:t>緣起</w:t>
      </w:r>
    </w:p>
    <w:p w:rsidR="008F5388" w:rsidRPr="00096C68" w:rsidRDefault="008F5388" w:rsidP="00096C68">
      <w:pPr>
        <w:numPr>
          <w:ilvl w:val="0"/>
          <w:numId w:val="3"/>
        </w:numPr>
        <w:snapToGrid w:val="0"/>
        <w:spacing w:line="360" w:lineRule="auto"/>
        <w:ind w:left="993" w:hanging="621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1</w:t>
      </w:r>
      <w:r w:rsidRPr="00096C68">
        <w:rPr>
          <w:rFonts w:ascii="Times New Roman" w:eastAsia="標楷體" w:hAnsi="Times New Roman" w:cs="Times New Roman"/>
          <w:color w:val="000000" w:themeColor="text1"/>
          <w:sz w:val="32"/>
        </w:rPr>
        <w:t>01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年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1</w:t>
      </w:r>
      <w:r w:rsidRPr="00096C68">
        <w:rPr>
          <w:rFonts w:ascii="Times New Roman" w:eastAsia="標楷體" w:hAnsi="Times New Roman" w:cs="Times New Roman"/>
          <w:color w:val="000000" w:themeColor="text1"/>
          <w:sz w:val="32"/>
        </w:rPr>
        <w:t>1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月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8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日行政院第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3</w:t>
      </w:r>
      <w:r w:rsidRPr="00096C68">
        <w:rPr>
          <w:rFonts w:ascii="Times New Roman" w:eastAsia="標楷體" w:hAnsi="Times New Roman" w:cs="Times New Roman"/>
          <w:color w:val="000000" w:themeColor="text1"/>
          <w:sz w:val="32"/>
        </w:rPr>
        <w:t>322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次院會決議指示，政府開放資料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 xml:space="preserve"> (Open Data)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可增進政府施政透明度、提升民眾生活品質，滿足產業界需求，並對於各級政府間或各部會間之決策品質均有助益，應自民眾的應用面發想，思考使用端之需求，在規劃時也要考慮到機器讀取介面的必要性。</w:t>
      </w:r>
    </w:p>
    <w:p w:rsidR="008F5388" w:rsidRPr="00096C68" w:rsidRDefault="008F5388" w:rsidP="00096C68">
      <w:pPr>
        <w:numPr>
          <w:ilvl w:val="0"/>
          <w:numId w:val="3"/>
        </w:numPr>
        <w:snapToGrid w:val="0"/>
        <w:spacing w:line="360" w:lineRule="auto"/>
        <w:ind w:left="993" w:hanging="621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1</w:t>
      </w:r>
      <w:r w:rsidRPr="00096C68">
        <w:rPr>
          <w:rFonts w:ascii="Times New Roman" w:eastAsia="標楷體" w:hAnsi="Times New Roman" w:cs="Times New Roman"/>
          <w:color w:val="000000" w:themeColor="text1"/>
          <w:sz w:val="32"/>
        </w:rPr>
        <w:t>00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年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2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月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2</w:t>
      </w:r>
      <w:r w:rsidRPr="00096C68">
        <w:rPr>
          <w:rFonts w:ascii="Times New Roman" w:eastAsia="標楷體" w:hAnsi="Times New Roman" w:cs="Times New Roman"/>
          <w:color w:val="000000" w:themeColor="text1"/>
          <w:sz w:val="32"/>
        </w:rPr>
        <w:t>3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日行政院函頒「行政院及所屬各級機關政府資料開放作業原則」，明訂政府資料以開放、無償提供、開放格式、允許使用者自由應用為原則。期透過政府資料開放之推動，達成政府資訊透明，促成跨機關與民間協同合作，推動服務創新。</w:t>
      </w:r>
    </w:p>
    <w:p w:rsidR="008F5388" w:rsidRPr="00096C68" w:rsidRDefault="008F5388" w:rsidP="00096C68">
      <w:pPr>
        <w:numPr>
          <w:ilvl w:val="0"/>
          <w:numId w:val="3"/>
        </w:numPr>
        <w:snapToGrid w:val="0"/>
        <w:spacing w:line="360" w:lineRule="auto"/>
        <w:ind w:left="993" w:hanging="621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為配合政府資料開放政策，依據行政院「政府資料開放諮詢小組設置要點」，本會於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1</w:t>
      </w:r>
      <w:r w:rsidRPr="00096C68">
        <w:rPr>
          <w:rFonts w:ascii="Times New Roman" w:eastAsia="標楷體" w:hAnsi="Times New Roman" w:cs="Times New Roman"/>
          <w:color w:val="000000" w:themeColor="text1"/>
          <w:sz w:val="32"/>
        </w:rPr>
        <w:t>04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年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4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月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2</w:t>
      </w:r>
      <w:r w:rsidRPr="00096C68">
        <w:rPr>
          <w:rFonts w:ascii="Times New Roman" w:eastAsia="標楷體" w:hAnsi="Times New Roman" w:cs="Times New Roman"/>
          <w:color w:val="000000" w:themeColor="text1"/>
          <w:sz w:val="32"/>
        </w:rPr>
        <w:t>8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日奉核定成立「資料開放諮詢小組」（下稱諮詢小組），加強推動資料開放、提升資料集品質、建立推廣及績效管理機制。</w:t>
      </w:r>
    </w:p>
    <w:p w:rsidR="008F5388" w:rsidRPr="00B17574" w:rsidRDefault="008F5388" w:rsidP="00096C68">
      <w:pPr>
        <w:numPr>
          <w:ilvl w:val="0"/>
          <w:numId w:val="3"/>
        </w:numPr>
        <w:snapToGrid w:val="0"/>
        <w:spacing w:line="360" w:lineRule="auto"/>
        <w:ind w:left="993" w:hanging="621"/>
        <w:jc w:val="both"/>
        <w:rPr>
          <w:rFonts w:ascii="Times New Roman" w:eastAsia="標楷體" w:hAnsi="Times New Roman" w:cs="Times New Roman"/>
          <w:color w:val="000000" w:themeColor="text1"/>
          <w:sz w:val="32"/>
          <w:u w:val="single"/>
        </w:rPr>
      </w:pP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依據</w:t>
      </w: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106</w:t>
      </w: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年</w:t>
      </w: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10</w:t>
      </w: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月</w:t>
      </w: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24</w:t>
      </w: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日「行政院及所屬各級機關政府資料開放作業原則」及</w:t>
      </w: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106</w:t>
      </w: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年</w:t>
      </w: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11</w:t>
      </w: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月</w:t>
      </w: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16</w:t>
      </w: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日「政府資料開放諮詢小組設置要點」修訂。</w:t>
      </w:r>
    </w:p>
    <w:p w:rsidR="008F5388" w:rsidRPr="00096C68" w:rsidRDefault="008F5388" w:rsidP="00096C68">
      <w:pPr>
        <w:numPr>
          <w:ilvl w:val="0"/>
          <w:numId w:val="1"/>
        </w:num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 w:val="32"/>
        </w:rPr>
      </w:pPr>
      <w:r w:rsidRPr="00096C68">
        <w:rPr>
          <w:rFonts w:ascii="Times New Roman" w:eastAsia="標楷體" w:hAnsi="Times New Roman" w:cs="Times New Roman" w:hint="eastAsia"/>
          <w:b/>
          <w:sz w:val="32"/>
        </w:rPr>
        <w:t>範圍</w:t>
      </w:r>
    </w:p>
    <w:p w:rsidR="008F5388" w:rsidRPr="00096C68" w:rsidRDefault="008F5388" w:rsidP="00096C68">
      <w:pPr>
        <w:snapToGrid w:val="0"/>
        <w:spacing w:line="360" w:lineRule="auto"/>
        <w:ind w:left="851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資料開放的類型以便利及提升民眾生活品質為優先，期透過政府資料開放，促進民眾對於原子能、輻射方面知識的瞭解，及促成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lastRenderedPageBreak/>
        <w:t>跨機關與民間協同合作與服務創新。</w:t>
      </w:r>
    </w:p>
    <w:p w:rsidR="008F5388" w:rsidRPr="00096C68" w:rsidRDefault="008F5388" w:rsidP="00096C68">
      <w:pPr>
        <w:numPr>
          <w:ilvl w:val="0"/>
          <w:numId w:val="6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組織範圍：本會及所屬機關。</w:t>
      </w:r>
    </w:p>
    <w:p w:rsidR="008F5388" w:rsidRPr="00096C68" w:rsidRDefault="008F5388" w:rsidP="00096C68">
      <w:pPr>
        <w:numPr>
          <w:ilvl w:val="0"/>
          <w:numId w:val="6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資料範圍：為本會於職權範圍內取得或做成，且依法得公開之各類電子資料，包含文字、數據、圖片、影像、聲音、詮釋資料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(metadata)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等。</w:t>
      </w:r>
    </w:p>
    <w:p w:rsidR="008F5388" w:rsidRPr="00096C68" w:rsidRDefault="008F5388" w:rsidP="00096C68">
      <w:pPr>
        <w:numPr>
          <w:ilvl w:val="0"/>
          <w:numId w:val="1"/>
        </w:num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 w:val="32"/>
        </w:rPr>
      </w:pPr>
      <w:r w:rsidRPr="00096C68">
        <w:rPr>
          <w:rFonts w:ascii="Times New Roman" w:eastAsia="標楷體" w:hAnsi="Times New Roman" w:cs="Times New Roman" w:hint="eastAsia"/>
          <w:b/>
          <w:sz w:val="32"/>
        </w:rPr>
        <w:t>執行策略</w:t>
      </w:r>
    </w:p>
    <w:p w:rsidR="008F5388" w:rsidRPr="00096C68" w:rsidRDefault="008F5388" w:rsidP="00096C68">
      <w:pPr>
        <w:numPr>
          <w:ilvl w:val="0"/>
          <w:numId w:val="8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透過盤點及清查等方式，檢視前述資料範圍。</w:t>
      </w:r>
    </w:p>
    <w:p w:rsidR="008F5388" w:rsidRPr="00096C68" w:rsidRDefault="008F5388" w:rsidP="00096C68">
      <w:pPr>
        <w:numPr>
          <w:ilvl w:val="0"/>
          <w:numId w:val="8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資訊系統之規劃須納入資料開放需求。</w:t>
      </w:r>
    </w:p>
    <w:p w:rsidR="008F5388" w:rsidRPr="00096C68" w:rsidRDefault="008F5388" w:rsidP="00096C68">
      <w:pPr>
        <w:numPr>
          <w:ilvl w:val="0"/>
          <w:numId w:val="8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定期舉辦資料開放相關作業說明與討論，協助同仁瞭解政府開放資料策略。</w:t>
      </w:r>
    </w:p>
    <w:p w:rsidR="008F5388" w:rsidRPr="00096C68" w:rsidRDefault="008F5388" w:rsidP="00096C68">
      <w:pPr>
        <w:numPr>
          <w:ilvl w:val="0"/>
          <w:numId w:val="8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加強與民間產政學溝通合作，協助檢視本會開放資料品質。</w:t>
      </w:r>
    </w:p>
    <w:p w:rsidR="008F5388" w:rsidRPr="00096C68" w:rsidRDefault="008F5388" w:rsidP="00096C68">
      <w:pPr>
        <w:numPr>
          <w:ilvl w:val="0"/>
          <w:numId w:val="8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資料集及問題解決均指定專人負責，以快速回應使用者意見，提升使用者滿意度。</w:t>
      </w:r>
    </w:p>
    <w:p w:rsidR="008F5388" w:rsidRPr="00B17574" w:rsidRDefault="008F5388" w:rsidP="00096C68">
      <w:pPr>
        <w:numPr>
          <w:ilvl w:val="0"/>
          <w:numId w:val="1"/>
        </w:num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 w:val="32"/>
          <w:u w:val="single"/>
        </w:rPr>
      </w:pPr>
      <w:r w:rsidRPr="00B17574">
        <w:rPr>
          <w:rFonts w:ascii="Times New Roman" w:eastAsia="標楷體" w:hAnsi="Times New Roman" w:cs="Times New Roman" w:hint="eastAsia"/>
          <w:b/>
          <w:sz w:val="32"/>
          <w:u w:val="single"/>
        </w:rPr>
        <w:t>本會諮詢小組運作架構：置召集人一人，由本會資訊長兼任之，委員十一至二十一人。除召集人為當然委員外，其餘委員由本會主任委員就下列人員派</w:t>
      </w:r>
      <w:r w:rsidRPr="00B17574">
        <w:rPr>
          <w:rFonts w:ascii="Times New Roman" w:eastAsia="標楷體" w:hAnsi="Times New Roman" w:cs="Times New Roman" w:hint="eastAsia"/>
          <w:b/>
          <w:sz w:val="32"/>
          <w:u w:val="single"/>
        </w:rPr>
        <w:t>(</w:t>
      </w:r>
      <w:r w:rsidRPr="00B17574">
        <w:rPr>
          <w:rFonts w:ascii="Times New Roman" w:eastAsia="標楷體" w:hAnsi="Times New Roman" w:cs="Times New Roman" w:hint="eastAsia"/>
          <w:b/>
          <w:sz w:val="32"/>
          <w:u w:val="single"/>
        </w:rPr>
        <w:t>聘</w:t>
      </w:r>
      <w:r w:rsidRPr="00B17574">
        <w:rPr>
          <w:rFonts w:ascii="Times New Roman" w:eastAsia="標楷體" w:hAnsi="Times New Roman" w:cs="Times New Roman"/>
          <w:b/>
          <w:sz w:val="32"/>
          <w:u w:val="single"/>
        </w:rPr>
        <w:t>)</w:t>
      </w:r>
      <w:r w:rsidRPr="00B17574">
        <w:rPr>
          <w:rFonts w:ascii="Times New Roman" w:eastAsia="標楷體" w:hAnsi="Times New Roman" w:cs="Times New Roman" w:hint="eastAsia"/>
          <w:b/>
          <w:sz w:val="32"/>
          <w:u w:val="single"/>
        </w:rPr>
        <w:t>兼之；民間代表人數不得少於委員總數三分之一：</w:t>
      </w:r>
    </w:p>
    <w:p w:rsidR="008F5388" w:rsidRPr="00B17574" w:rsidRDefault="008F5388" w:rsidP="00096C68">
      <w:pPr>
        <w:numPr>
          <w:ilvl w:val="0"/>
          <w:numId w:val="9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  <w:u w:val="single"/>
        </w:rPr>
      </w:pP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機關代表：由本會法制、業務、主計及資訊等單位主管及所屬機關主任秘書層級以上人員擔任。</w:t>
      </w:r>
    </w:p>
    <w:p w:rsidR="008F5388" w:rsidRPr="00B17574" w:rsidRDefault="008F5388" w:rsidP="00096C68">
      <w:pPr>
        <w:numPr>
          <w:ilvl w:val="0"/>
          <w:numId w:val="9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  <w:u w:val="single"/>
        </w:rPr>
      </w:pP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民間代表：由具有學術專長或實務經驗之學者專家擔任。</w:t>
      </w:r>
    </w:p>
    <w:p w:rsidR="008F5388" w:rsidRPr="00B17574" w:rsidRDefault="008F5388" w:rsidP="00096C68">
      <w:pPr>
        <w:numPr>
          <w:ilvl w:val="0"/>
          <w:numId w:val="1"/>
        </w:num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 w:val="32"/>
          <w:u w:val="single"/>
        </w:rPr>
      </w:pPr>
      <w:r w:rsidRPr="00B17574">
        <w:rPr>
          <w:rFonts w:ascii="Times New Roman" w:eastAsia="標楷體" w:hAnsi="Times New Roman" w:cs="Times New Roman" w:hint="eastAsia"/>
          <w:b/>
          <w:sz w:val="32"/>
          <w:u w:val="single"/>
        </w:rPr>
        <w:t>本會諮詢小組幕僚作業，由本會綜合計畫處兼辦。</w:t>
      </w:r>
    </w:p>
    <w:p w:rsidR="00096C68" w:rsidRPr="00096C68" w:rsidRDefault="00096C68" w:rsidP="00096C68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 w:val="32"/>
        </w:rPr>
      </w:pPr>
    </w:p>
    <w:p w:rsidR="008F5388" w:rsidRPr="00B17574" w:rsidRDefault="008F5388" w:rsidP="00096C68">
      <w:pPr>
        <w:numPr>
          <w:ilvl w:val="0"/>
          <w:numId w:val="1"/>
        </w:num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 w:val="32"/>
          <w:u w:val="single"/>
        </w:rPr>
      </w:pPr>
      <w:r w:rsidRPr="00B17574">
        <w:rPr>
          <w:rFonts w:ascii="Times New Roman" w:eastAsia="標楷體" w:hAnsi="Times New Roman" w:cs="Times New Roman" w:hint="eastAsia"/>
          <w:b/>
          <w:sz w:val="32"/>
          <w:u w:val="single"/>
        </w:rPr>
        <w:lastRenderedPageBreak/>
        <w:t>諮詢小組召開會議方式：</w:t>
      </w:r>
    </w:p>
    <w:p w:rsidR="008F5388" w:rsidRPr="00B17574" w:rsidRDefault="008F5388" w:rsidP="00096C68">
      <w:pPr>
        <w:numPr>
          <w:ilvl w:val="0"/>
          <w:numId w:val="10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  <w:u w:val="single"/>
        </w:rPr>
      </w:pP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每季以召開一次為原則，每年不低於二次，並得視需要召開臨時會議。</w:t>
      </w:r>
    </w:p>
    <w:p w:rsidR="008F5388" w:rsidRPr="00B17574" w:rsidRDefault="008F5388" w:rsidP="00096C68">
      <w:pPr>
        <w:numPr>
          <w:ilvl w:val="0"/>
          <w:numId w:val="10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  <w:u w:val="single"/>
        </w:rPr>
      </w:pP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諮詢小組召開會議時，由召集人召集並擔任會議主席。召集人因故未能出席會議時，得指定委員一人代理之。</w:t>
      </w:r>
    </w:p>
    <w:p w:rsidR="008F5388" w:rsidRPr="00B17574" w:rsidRDefault="008F5388" w:rsidP="00096C68">
      <w:pPr>
        <w:numPr>
          <w:ilvl w:val="0"/>
          <w:numId w:val="10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  <w:u w:val="single"/>
        </w:rPr>
      </w:pP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諮詢小組應有委員總數二分之一以上出席，出席委員中之民間代表應至少二人，且不得少於出席人數之三分之一，始得開會。</w:t>
      </w:r>
    </w:p>
    <w:p w:rsidR="008F5388" w:rsidRPr="00B17574" w:rsidRDefault="008F5388" w:rsidP="00096C68">
      <w:pPr>
        <w:numPr>
          <w:ilvl w:val="0"/>
          <w:numId w:val="10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  <w:u w:val="single"/>
        </w:rPr>
      </w:pP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視需要得邀請相關人員列席說明之。</w:t>
      </w:r>
    </w:p>
    <w:p w:rsidR="008F5388" w:rsidRPr="00096C68" w:rsidRDefault="008F5388" w:rsidP="00096C68">
      <w:pPr>
        <w:numPr>
          <w:ilvl w:val="0"/>
          <w:numId w:val="1"/>
        </w:num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 w:val="32"/>
        </w:rPr>
      </w:pPr>
      <w:r w:rsidRPr="00096C68">
        <w:rPr>
          <w:rFonts w:ascii="Times New Roman" w:eastAsia="標楷體" w:hAnsi="Times New Roman" w:cs="Times New Roman" w:hint="eastAsia"/>
          <w:b/>
          <w:sz w:val="32"/>
        </w:rPr>
        <w:t>績效目標</w:t>
      </w:r>
    </w:p>
    <w:p w:rsidR="008F5388" w:rsidRPr="00096C68" w:rsidRDefault="008F5388" w:rsidP="00096C68">
      <w:pPr>
        <w:numPr>
          <w:ilvl w:val="0"/>
          <w:numId w:val="11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持續推動資料開放，開放資料集檔案格式以達成資料三星以上格式為目標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(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請參閱附件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)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，不須使用特定軟體或硬體即可取用資料集內容，其資料欄位定義應明確、可量化且電腦可解析處理。</w:t>
      </w:r>
    </w:p>
    <w:p w:rsidR="008F5388" w:rsidRPr="00096C68" w:rsidRDefault="008F5388" w:rsidP="00096C68">
      <w:pPr>
        <w:numPr>
          <w:ilvl w:val="0"/>
          <w:numId w:val="11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隨時關注民眾於政府資料開放平臺上之意見，達成每件七日內，平均四日內回覆目標，及統計回復滿意度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(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喜歡／不喜歡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)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逾百分之八十以上。</w:t>
      </w:r>
    </w:p>
    <w:p w:rsidR="008F5388" w:rsidRPr="00B17574" w:rsidRDefault="008F5388" w:rsidP="00096C68">
      <w:pPr>
        <w:numPr>
          <w:ilvl w:val="0"/>
          <w:numId w:val="1"/>
        </w:num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 w:val="32"/>
          <w:u w:val="single"/>
        </w:rPr>
      </w:pPr>
      <w:r w:rsidRPr="00B17574">
        <w:rPr>
          <w:rFonts w:ascii="Times New Roman" w:eastAsia="標楷體" w:hAnsi="Times New Roman" w:cs="Times New Roman" w:hint="eastAsia"/>
          <w:b/>
          <w:sz w:val="32"/>
          <w:u w:val="single"/>
        </w:rPr>
        <w:t>資料開放期程：開放檔案及資料格式以資料三星以上格式為原則，並視需要適時調整之。</w:t>
      </w:r>
    </w:p>
    <w:p w:rsidR="008F5388" w:rsidRPr="00096C68" w:rsidRDefault="008F5388" w:rsidP="00096C68">
      <w:pPr>
        <w:numPr>
          <w:ilvl w:val="0"/>
          <w:numId w:val="1"/>
        </w:num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 w:val="32"/>
        </w:rPr>
      </w:pPr>
      <w:r w:rsidRPr="00096C68">
        <w:rPr>
          <w:rFonts w:ascii="Times New Roman" w:eastAsia="標楷體" w:hAnsi="Times New Roman" w:cs="Times New Roman" w:hint="eastAsia"/>
          <w:b/>
          <w:sz w:val="32"/>
        </w:rPr>
        <w:t>資料開放原則</w:t>
      </w:r>
    </w:p>
    <w:p w:rsidR="008F5388" w:rsidRPr="00096C68" w:rsidRDefault="008F5388" w:rsidP="00096C68">
      <w:pPr>
        <w:numPr>
          <w:ilvl w:val="0"/>
          <w:numId w:val="12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本會資料依政府資訊公開法規定公開，並以開放為原則。但敏感性資料、涉及著作權歸屬、法規（如個人資料保護法、國家安全法等）或契約使用限制、機關有無授權第三人再利用權限及影響本會管制業務安全者，得不予開放。</w:t>
      </w:r>
    </w:p>
    <w:p w:rsidR="008F5388" w:rsidRPr="00096C68" w:rsidRDefault="008F5388" w:rsidP="00096C68">
      <w:pPr>
        <w:numPr>
          <w:ilvl w:val="0"/>
          <w:numId w:val="12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lastRenderedPageBreak/>
        <w:t>本會開放資料以無償提供為原則，若需收費者，須經諮詢小組通過。</w:t>
      </w:r>
    </w:p>
    <w:p w:rsidR="008F5388" w:rsidRPr="00096C68" w:rsidRDefault="008F5388" w:rsidP="00096C68">
      <w:pPr>
        <w:numPr>
          <w:ilvl w:val="0"/>
          <w:numId w:val="12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本會提供開放資料須為開放格式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(Open Data Format)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，部分圖、表檔案非開放格式者（如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Excel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、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Word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檔案），須轉換成開放格式再行提供。</w:t>
      </w:r>
    </w:p>
    <w:p w:rsidR="008F5388" w:rsidRPr="00096C68" w:rsidRDefault="008F5388" w:rsidP="00096C68">
      <w:pPr>
        <w:numPr>
          <w:ilvl w:val="0"/>
          <w:numId w:val="12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資訊系統產出之資料集以結構化、去識別化、開放格式或應用程式介面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(Web Service)</w:t>
      </w: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方式呈現。</w:t>
      </w:r>
    </w:p>
    <w:p w:rsidR="008F5388" w:rsidRPr="00096C68" w:rsidRDefault="008F5388" w:rsidP="00096C68">
      <w:pPr>
        <w:numPr>
          <w:ilvl w:val="0"/>
          <w:numId w:val="12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定期檢視已開放資料，倘經確認為外部運用，產生不當結果者，須經諮詢小組審議後不予開放。</w:t>
      </w:r>
    </w:p>
    <w:p w:rsidR="008F5388" w:rsidRPr="00096C68" w:rsidRDefault="008F5388" w:rsidP="00096C68">
      <w:pPr>
        <w:numPr>
          <w:ilvl w:val="0"/>
          <w:numId w:val="12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</w:rPr>
      </w:pPr>
      <w:r w:rsidRPr="00096C68">
        <w:rPr>
          <w:rFonts w:ascii="Times New Roman" w:eastAsia="標楷體" w:hAnsi="Times New Roman" w:cs="Times New Roman" w:hint="eastAsia"/>
          <w:color w:val="000000" w:themeColor="text1"/>
          <w:sz w:val="32"/>
        </w:rPr>
        <w:t>經民眾申請要求開放，若不予開放或無法開放之資料，應提交諮詢小組討論確認。</w:t>
      </w:r>
    </w:p>
    <w:p w:rsidR="008F5388" w:rsidRPr="00096C68" w:rsidRDefault="00096C68" w:rsidP="00096C68">
      <w:pPr>
        <w:numPr>
          <w:ilvl w:val="0"/>
          <w:numId w:val="1"/>
        </w:numPr>
        <w:snapToGrid w:val="0"/>
        <w:spacing w:line="360" w:lineRule="auto"/>
        <w:jc w:val="both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預</w:t>
      </w:r>
      <w:r w:rsidR="008F5388" w:rsidRPr="00096C68">
        <w:rPr>
          <w:rFonts w:ascii="Times New Roman" w:eastAsia="標楷體" w:hAnsi="Times New Roman" w:cs="Times New Roman" w:hint="eastAsia"/>
          <w:b/>
          <w:sz w:val="32"/>
        </w:rPr>
        <w:t>預成效</w:t>
      </w:r>
    </w:p>
    <w:p w:rsidR="008F5388" w:rsidRPr="00B17574" w:rsidRDefault="008F5388" w:rsidP="00096C68">
      <w:pPr>
        <w:numPr>
          <w:ilvl w:val="0"/>
          <w:numId w:val="7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  <w:u w:val="single"/>
        </w:rPr>
      </w:pP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完善資料開放機制：優化本會資料開放作業程序，健全整體資料開放之運作。</w:t>
      </w:r>
    </w:p>
    <w:p w:rsidR="008F5388" w:rsidRPr="00B17574" w:rsidRDefault="008F5388" w:rsidP="00096C68">
      <w:pPr>
        <w:numPr>
          <w:ilvl w:val="0"/>
          <w:numId w:val="7"/>
        </w:numPr>
        <w:snapToGrid w:val="0"/>
        <w:spacing w:line="360" w:lineRule="auto"/>
        <w:ind w:left="993" w:hanging="567"/>
        <w:jc w:val="both"/>
        <w:rPr>
          <w:rFonts w:ascii="Times New Roman" w:eastAsia="標楷體" w:hAnsi="Times New Roman" w:cs="Times New Roman"/>
          <w:color w:val="000000" w:themeColor="text1"/>
          <w:sz w:val="32"/>
          <w:u w:val="single"/>
        </w:rPr>
      </w:pPr>
      <w:r w:rsidRPr="00B17574">
        <w:rPr>
          <w:rFonts w:ascii="Times New Roman" w:eastAsia="標楷體" w:hAnsi="Times New Roman" w:cs="Times New Roman" w:hint="eastAsia"/>
          <w:color w:val="000000" w:themeColor="text1"/>
          <w:sz w:val="32"/>
          <w:u w:val="single"/>
        </w:rPr>
        <w:t>促進開放資料文化：增進本會施政透明度，促進民間協作與回饋機制，共同推動服務創新。</w:t>
      </w:r>
    </w:p>
    <w:p w:rsidR="00BC7A4E" w:rsidRPr="001E7D73" w:rsidRDefault="00BC7A4E" w:rsidP="00BC7A4E">
      <w:pPr>
        <w:snapToGrid w:val="0"/>
        <w:spacing w:line="520" w:lineRule="exact"/>
        <w:ind w:leftChars="177" w:left="991" w:hangingChars="177" w:hanging="566"/>
        <w:jc w:val="both"/>
        <w:rPr>
          <w:rFonts w:ascii="Times New Roman" w:eastAsia="標楷體" w:hAnsi="Times New Roman" w:cs="Times New Roman"/>
          <w:sz w:val="32"/>
          <w:u w:val="single"/>
        </w:rPr>
      </w:pPr>
    </w:p>
    <w:p w:rsidR="00755087" w:rsidRPr="001E7D73" w:rsidRDefault="00755087" w:rsidP="00755087">
      <w:pPr>
        <w:widowControl/>
        <w:rPr>
          <w:rFonts w:ascii="Times New Roman" w:eastAsia="標楷體" w:hAnsi="Times New Roman" w:cs="Times New Roman"/>
          <w:sz w:val="32"/>
        </w:rPr>
      </w:pPr>
      <w:r w:rsidRPr="001E7D73">
        <w:rPr>
          <w:rFonts w:ascii="Times New Roman" w:eastAsia="標楷體" w:hAnsi="Times New Roman" w:cs="Times New Roman"/>
          <w:sz w:val="32"/>
        </w:rPr>
        <w:br w:type="page"/>
      </w:r>
    </w:p>
    <w:p w:rsidR="00755087" w:rsidRPr="001E7D73" w:rsidRDefault="00755087" w:rsidP="00755087">
      <w:pPr>
        <w:snapToGrid w:val="0"/>
        <w:spacing w:line="520" w:lineRule="exact"/>
        <w:ind w:left="2" w:hanging="2"/>
        <w:jc w:val="both"/>
        <w:rPr>
          <w:rFonts w:ascii="Times New Roman" w:eastAsia="標楷體" w:hAnsi="Times New Roman" w:cs="Times New Roman"/>
          <w:sz w:val="32"/>
        </w:rPr>
      </w:pPr>
      <w:bookmarkStart w:id="1" w:name="_Toc436847802"/>
      <w:r w:rsidRPr="001E7D73">
        <w:rPr>
          <w:rFonts w:ascii="Times New Roman" w:eastAsia="標楷體" w:hAnsi="Times New Roman" w:cs="Times New Roman"/>
          <w:sz w:val="32"/>
        </w:rPr>
        <w:lastRenderedPageBreak/>
        <w:t>附件、資料</w:t>
      </w:r>
      <w:r w:rsidRPr="001E7D73">
        <w:rPr>
          <w:rFonts w:ascii="Times New Roman" w:eastAsia="標楷體" w:hAnsi="Times New Roman" w:cs="Times New Roman"/>
          <w:sz w:val="32"/>
        </w:rPr>
        <w:t>5</w:t>
      </w:r>
      <w:r w:rsidRPr="001E7D73">
        <w:rPr>
          <w:rFonts w:ascii="Times New Roman" w:eastAsia="標楷體" w:hAnsi="Times New Roman" w:cs="Times New Roman"/>
          <w:sz w:val="32"/>
        </w:rPr>
        <w:t>顆星評等</w:t>
      </w:r>
      <w:bookmarkEnd w:id="1"/>
    </w:p>
    <w:p w:rsidR="00755087" w:rsidRPr="001E7D73" w:rsidRDefault="00755087" w:rsidP="00755087">
      <w:pPr>
        <w:snapToGrid w:val="0"/>
        <w:spacing w:line="520" w:lineRule="exact"/>
        <w:ind w:leftChars="412" w:left="991" w:hanging="2"/>
        <w:jc w:val="both"/>
        <w:rPr>
          <w:rFonts w:ascii="Times New Roman" w:eastAsia="標楷體" w:hAnsi="Times New Roman" w:cs="Times New Roman"/>
          <w:sz w:val="32"/>
        </w:rPr>
      </w:pPr>
      <w:r w:rsidRPr="001E7D73">
        <w:rPr>
          <w:rFonts w:ascii="Times New Roman" w:eastAsia="標楷體" w:hAnsi="Times New Roman" w:cs="Times New Roman"/>
          <w:color w:val="000000" w:themeColor="text1"/>
          <w:sz w:val="32"/>
        </w:rPr>
        <w:t>英國學者提姆</w:t>
      </w:r>
      <w:r w:rsidRPr="001E7D73">
        <w:rPr>
          <w:rFonts w:ascii="Times New Roman" w:eastAsia="標楷體" w:hAnsi="Times New Roman" w:cs="Times New Roman"/>
          <w:color w:val="000000" w:themeColor="text1"/>
          <w:sz w:val="32"/>
        </w:rPr>
        <w:t xml:space="preserve"> · </w:t>
      </w:r>
      <w:r w:rsidRPr="001E7D73">
        <w:rPr>
          <w:rFonts w:ascii="Times New Roman" w:eastAsia="標楷體" w:hAnsi="Times New Roman" w:cs="Times New Roman"/>
          <w:color w:val="000000" w:themeColor="text1"/>
          <w:sz w:val="32"/>
        </w:rPr>
        <w:t>柏納</w:t>
      </w:r>
      <w:r w:rsidRPr="001E7D73">
        <w:rPr>
          <w:rFonts w:ascii="Times New Roman" w:eastAsia="標楷體" w:hAnsi="Times New Roman" w:cs="Times New Roman"/>
          <w:color w:val="000000" w:themeColor="text1"/>
          <w:sz w:val="32"/>
        </w:rPr>
        <w:t xml:space="preserve">- </w:t>
      </w:r>
      <w:r w:rsidRPr="001E7D73">
        <w:rPr>
          <w:rFonts w:ascii="Times New Roman" w:eastAsia="標楷體" w:hAnsi="Times New Roman" w:cs="Times New Roman"/>
          <w:color w:val="000000" w:themeColor="text1"/>
          <w:sz w:val="32"/>
        </w:rPr>
        <w:t>李</w:t>
      </w:r>
      <w:r w:rsidRPr="001E7D73">
        <w:rPr>
          <w:rFonts w:ascii="Times New Roman" w:eastAsia="標楷體" w:hAnsi="Times New Roman" w:cs="Times New Roman"/>
          <w:color w:val="000000" w:themeColor="text1"/>
          <w:sz w:val="32"/>
        </w:rPr>
        <w:t>(Tim Berners-Lee)</w:t>
      </w:r>
      <w:r w:rsidRPr="001E7D73">
        <w:rPr>
          <w:rFonts w:ascii="Times New Roman" w:eastAsia="標楷體" w:hAnsi="Times New Roman" w:cs="Times New Roman"/>
          <w:color w:val="000000" w:themeColor="text1"/>
          <w:sz w:val="32"/>
        </w:rPr>
        <w:t>為鼓勵政府推動開放資料，於</w:t>
      </w:r>
      <w:r w:rsidR="00CD0F2C" w:rsidRPr="001E7D73">
        <w:rPr>
          <w:rFonts w:ascii="Times New Roman" w:eastAsia="標楷體" w:hAnsi="Times New Roman" w:cs="Times New Roman"/>
          <w:color w:val="000000" w:themeColor="text1"/>
          <w:sz w:val="32"/>
        </w:rPr>
        <w:t>二</w:t>
      </w:r>
      <w:r w:rsidR="00F13330" w:rsidRPr="001E7D73">
        <w:rPr>
          <w:rFonts w:ascii="Times New Roman" w:eastAsia="標楷體" w:hAnsi="Times New Roman" w:cs="Times New Roman"/>
          <w:color w:val="000000" w:themeColor="text1"/>
          <w:sz w:val="32"/>
        </w:rPr>
        <w:t>零一零</w:t>
      </w:r>
      <w:r w:rsidRPr="001E7D73">
        <w:rPr>
          <w:rFonts w:ascii="Times New Roman" w:eastAsia="標楷體" w:hAnsi="Times New Roman" w:cs="Times New Roman"/>
          <w:color w:val="000000" w:themeColor="text1"/>
          <w:sz w:val="32"/>
        </w:rPr>
        <w:t>年提出</w:t>
      </w:r>
      <w:r w:rsidR="00F13330" w:rsidRPr="001E7D73">
        <w:rPr>
          <w:rFonts w:ascii="Times New Roman" w:eastAsia="標楷體" w:hAnsi="Times New Roman" w:cs="Times New Roman"/>
          <w:color w:val="000000" w:themeColor="text1"/>
          <w:sz w:val="32"/>
        </w:rPr>
        <w:t>五</w:t>
      </w:r>
      <w:r w:rsidRPr="001E7D73">
        <w:rPr>
          <w:rFonts w:ascii="Times New Roman" w:eastAsia="標楷體" w:hAnsi="Times New Roman" w:cs="Times New Roman"/>
          <w:color w:val="000000" w:themeColor="text1"/>
          <w:sz w:val="32"/>
        </w:rPr>
        <w:t>顆</w:t>
      </w:r>
      <w:r w:rsidRPr="001E7D73">
        <w:rPr>
          <w:rFonts w:ascii="Times New Roman" w:eastAsia="標楷體" w:hAnsi="Times New Roman" w:cs="Times New Roman"/>
          <w:sz w:val="32"/>
        </w:rPr>
        <w:t>星評等建議，每一星等在授權利用基礎下，均為開放資料。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  <w:gridCol w:w="2551"/>
      </w:tblGrid>
      <w:tr w:rsidR="00755087" w:rsidRPr="001E7D73" w:rsidTr="00FA67E7">
        <w:trPr>
          <w:trHeight w:val="261"/>
          <w:tblHeader/>
        </w:trPr>
        <w:tc>
          <w:tcPr>
            <w:tcW w:w="2127" w:type="dxa"/>
            <w:shd w:val="clear" w:color="auto" w:fill="F4B083"/>
          </w:tcPr>
          <w:p w:rsidR="00755087" w:rsidRPr="001E7D73" w:rsidRDefault="00755087" w:rsidP="0075508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/>
                <w:sz w:val="28"/>
              </w:rPr>
              <w:t>星等</w:t>
            </w:r>
          </w:p>
        </w:tc>
        <w:tc>
          <w:tcPr>
            <w:tcW w:w="5528" w:type="dxa"/>
            <w:shd w:val="clear" w:color="auto" w:fill="F4B083"/>
          </w:tcPr>
          <w:p w:rsidR="00755087" w:rsidRPr="001E7D73" w:rsidRDefault="00755087" w:rsidP="0075508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/>
                <w:sz w:val="28"/>
              </w:rPr>
              <w:t>說明</w:t>
            </w:r>
          </w:p>
        </w:tc>
        <w:tc>
          <w:tcPr>
            <w:tcW w:w="2551" w:type="dxa"/>
            <w:shd w:val="clear" w:color="auto" w:fill="F4B083"/>
          </w:tcPr>
          <w:p w:rsidR="00755087" w:rsidRPr="001E7D73" w:rsidRDefault="00755087" w:rsidP="0075508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/>
                <w:sz w:val="28"/>
              </w:rPr>
              <w:t>格式範例</w:t>
            </w:r>
          </w:p>
        </w:tc>
      </w:tr>
      <w:tr w:rsidR="00755087" w:rsidRPr="001E7D73" w:rsidTr="00FA67E7">
        <w:trPr>
          <w:trHeight w:val="624"/>
        </w:trPr>
        <w:tc>
          <w:tcPr>
            <w:tcW w:w="2127" w:type="dxa"/>
            <w:shd w:val="clear" w:color="auto" w:fill="auto"/>
          </w:tcPr>
          <w:p w:rsidR="00755087" w:rsidRPr="001E7D73" w:rsidRDefault="00F13330" w:rsidP="0075508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一</w:t>
            </w:r>
            <w:r w:rsidR="00755087"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星</w:t>
            </w:r>
          </w:p>
        </w:tc>
        <w:tc>
          <w:tcPr>
            <w:tcW w:w="5528" w:type="dxa"/>
            <w:shd w:val="clear" w:color="auto" w:fill="auto"/>
          </w:tcPr>
          <w:p w:rsidR="00755087" w:rsidRPr="001E7D73" w:rsidRDefault="00755087" w:rsidP="0075508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資料公開上網，格式不均，開放授權</w:t>
            </w:r>
          </w:p>
        </w:tc>
        <w:tc>
          <w:tcPr>
            <w:tcW w:w="2551" w:type="dxa"/>
          </w:tcPr>
          <w:p w:rsidR="00755087" w:rsidRPr="001E7D73" w:rsidRDefault="00755087" w:rsidP="0075508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PDF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、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JPG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、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DOC</w:t>
            </w:r>
          </w:p>
        </w:tc>
      </w:tr>
      <w:tr w:rsidR="00755087" w:rsidRPr="001E7D73" w:rsidTr="00FA67E7">
        <w:trPr>
          <w:trHeight w:val="624"/>
        </w:trPr>
        <w:tc>
          <w:tcPr>
            <w:tcW w:w="2127" w:type="dxa"/>
            <w:shd w:val="clear" w:color="auto" w:fill="auto"/>
          </w:tcPr>
          <w:p w:rsidR="00755087" w:rsidRPr="001E7D73" w:rsidRDefault="00F13330" w:rsidP="0075508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二</w:t>
            </w:r>
            <w:r w:rsidR="00755087"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星</w:t>
            </w:r>
          </w:p>
        </w:tc>
        <w:tc>
          <w:tcPr>
            <w:tcW w:w="5528" w:type="dxa"/>
            <w:shd w:val="clear" w:color="auto" w:fill="auto"/>
          </w:tcPr>
          <w:p w:rsidR="00755087" w:rsidRPr="001E7D73" w:rsidRDefault="00755087" w:rsidP="0075508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提供機器可讀、結構化的資料</w:t>
            </w:r>
          </w:p>
        </w:tc>
        <w:tc>
          <w:tcPr>
            <w:tcW w:w="2551" w:type="dxa"/>
          </w:tcPr>
          <w:p w:rsidR="00755087" w:rsidRPr="001E7D73" w:rsidRDefault="00755087" w:rsidP="0075508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Excel</w:t>
            </w:r>
          </w:p>
        </w:tc>
      </w:tr>
      <w:tr w:rsidR="00755087" w:rsidRPr="001E7D73" w:rsidTr="00FA67E7">
        <w:trPr>
          <w:trHeight w:val="624"/>
        </w:trPr>
        <w:tc>
          <w:tcPr>
            <w:tcW w:w="2127" w:type="dxa"/>
            <w:shd w:val="clear" w:color="auto" w:fill="auto"/>
          </w:tcPr>
          <w:p w:rsidR="00755087" w:rsidRPr="001E7D73" w:rsidRDefault="00F13330" w:rsidP="0075508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三</w:t>
            </w:r>
            <w:r w:rsidR="00755087"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星</w:t>
            </w:r>
          </w:p>
        </w:tc>
        <w:tc>
          <w:tcPr>
            <w:tcW w:w="5528" w:type="dxa"/>
            <w:shd w:val="clear" w:color="auto" w:fill="auto"/>
          </w:tcPr>
          <w:p w:rsidR="00755087" w:rsidRPr="001E7D73" w:rsidRDefault="00755087" w:rsidP="0075508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提供機器可讀、結構化的資料，且使用非專屬的資料格式</w:t>
            </w:r>
          </w:p>
        </w:tc>
        <w:tc>
          <w:tcPr>
            <w:tcW w:w="2551" w:type="dxa"/>
          </w:tcPr>
          <w:p w:rsidR="00755087" w:rsidRPr="001E7D73" w:rsidRDefault="00755087" w:rsidP="0075508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CSV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、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XML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、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JSON</w:t>
            </w:r>
          </w:p>
        </w:tc>
      </w:tr>
      <w:tr w:rsidR="00755087" w:rsidRPr="001E7D73" w:rsidTr="00FA67E7">
        <w:trPr>
          <w:trHeight w:val="624"/>
        </w:trPr>
        <w:tc>
          <w:tcPr>
            <w:tcW w:w="2127" w:type="dxa"/>
            <w:shd w:val="clear" w:color="auto" w:fill="auto"/>
          </w:tcPr>
          <w:p w:rsidR="00755087" w:rsidRPr="001E7D73" w:rsidRDefault="00F13330" w:rsidP="0075508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四</w:t>
            </w:r>
            <w:r w:rsidR="00755087"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星</w:t>
            </w:r>
          </w:p>
        </w:tc>
        <w:tc>
          <w:tcPr>
            <w:tcW w:w="5528" w:type="dxa"/>
            <w:shd w:val="clear" w:color="auto" w:fill="auto"/>
          </w:tcPr>
          <w:p w:rsidR="00755087" w:rsidRPr="001E7D73" w:rsidRDefault="00755087" w:rsidP="0075508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包含</w:t>
            </w:r>
            <w:r w:rsidR="00F13330"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三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星，並可使用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 xml:space="preserve"> URI 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來標定資料，讓人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/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機器可以直接標示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/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存取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/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運用資料集裡的每一個單筆資料</w:t>
            </w:r>
          </w:p>
        </w:tc>
        <w:tc>
          <w:tcPr>
            <w:tcW w:w="2551" w:type="dxa"/>
          </w:tcPr>
          <w:p w:rsidR="00755087" w:rsidRPr="001E7D73" w:rsidRDefault="00755087" w:rsidP="00755087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RDF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、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SPARQL</w:t>
            </w:r>
          </w:p>
        </w:tc>
      </w:tr>
      <w:tr w:rsidR="00755087" w:rsidRPr="001E7D73" w:rsidTr="00FA67E7">
        <w:trPr>
          <w:trHeight w:val="624"/>
        </w:trPr>
        <w:tc>
          <w:tcPr>
            <w:tcW w:w="2127" w:type="dxa"/>
            <w:shd w:val="clear" w:color="auto" w:fill="auto"/>
          </w:tcPr>
          <w:p w:rsidR="00755087" w:rsidRPr="001E7D73" w:rsidRDefault="00F13330" w:rsidP="0075508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五</w:t>
            </w:r>
            <w:r w:rsidR="00755087"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星</w:t>
            </w:r>
          </w:p>
        </w:tc>
        <w:tc>
          <w:tcPr>
            <w:tcW w:w="8079" w:type="dxa"/>
            <w:gridSpan w:val="2"/>
            <w:shd w:val="clear" w:color="auto" w:fill="auto"/>
          </w:tcPr>
          <w:p w:rsidR="00755087" w:rsidRPr="001E7D73" w:rsidRDefault="00755087" w:rsidP="00755087">
            <w:pPr>
              <w:keepNext/>
              <w:widowControl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包含</w:t>
            </w:r>
            <w:r w:rsidR="00F13330"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四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星，並可將資料與其他資料進行連結，建立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/</w:t>
            </w:r>
            <w:r w:rsidRPr="001E7D73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提供脈絡</w:t>
            </w:r>
          </w:p>
        </w:tc>
      </w:tr>
    </w:tbl>
    <w:p w:rsidR="00755087" w:rsidRPr="001E7D73" w:rsidRDefault="00755087" w:rsidP="00755087">
      <w:pPr>
        <w:snapToGrid w:val="0"/>
        <w:spacing w:line="520" w:lineRule="exact"/>
        <w:ind w:leftChars="177" w:left="991" w:hangingChars="177" w:hanging="566"/>
        <w:jc w:val="both"/>
        <w:rPr>
          <w:rFonts w:ascii="Times New Roman" w:eastAsia="標楷體" w:hAnsi="Times New Roman" w:cs="Times New Roman"/>
          <w:sz w:val="32"/>
        </w:rPr>
      </w:pPr>
      <w:r w:rsidRPr="001E7D73">
        <w:rPr>
          <w:rFonts w:ascii="Times New Roman" w:eastAsia="標楷體" w:hAnsi="Times New Roman" w:cs="Times New Roman"/>
          <w:sz w:val="32"/>
        </w:rPr>
        <w:t>註：上表「格式範例」所列僅為部分格式，符合「說明」欄內之資料性質，均可屬於該星等。</w:t>
      </w:r>
    </w:p>
    <w:p w:rsidR="00DE6B10" w:rsidRPr="001E7D73" w:rsidRDefault="00DE6B10">
      <w:pPr>
        <w:rPr>
          <w:rFonts w:ascii="Times New Roman" w:eastAsia="標楷體" w:hAnsi="Times New Roman" w:cs="Times New Roman"/>
        </w:rPr>
      </w:pPr>
    </w:p>
    <w:sectPr w:rsidR="00DE6B10" w:rsidRPr="001E7D73" w:rsidSect="001E7D73">
      <w:footerReference w:type="default" r:id="rId8"/>
      <w:pgSz w:w="11906" w:h="16838"/>
      <w:pgMar w:top="1440" w:right="1080" w:bottom="1440" w:left="1080" w:header="851" w:footer="7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28C" w:rsidRDefault="0093428C" w:rsidP="00C1744E">
      <w:r>
        <w:separator/>
      </w:r>
    </w:p>
  </w:endnote>
  <w:endnote w:type="continuationSeparator" w:id="0">
    <w:p w:rsidR="0093428C" w:rsidRDefault="0093428C" w:rsidP="00C1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標楷體" w:hAnsi="Times New Roman" w:cs="Times New Roman"/>
        <w:sz w:val="24"/>
      </w:rPr>
      <w:id w:val="710001811"/>
      <w:docPartObj>
        <w:docPartGallery w:val="Page Numbers (Bottom of Page)"/>
        <w:docPartUnique/>
      </w:docPartObj>
    </w:sdtPr>
    <w:sdtEndPr/>
    <w:sdtContent>
      <w:p w:rsidR="001E7D73" w:rsidRPr="001E7D73" w:rsidRDefault="001E7D73">
        <w:pPr>
          <w:pStyle w:val="ad"/>
          <w:jc w:val="right"/>
          <w:rPr>
            <w:rFonts w:ascii="Times New Roman" w:eastAsia="標楷體" w:hAnsi="Times New Roman" w:cs="Times New Roman"/>
            <w:sz w:val="24"/>
          </w:rPr>
        </w:pPr>
        <w:r w:rsidRPr="001E7D73">
          <w:rPr>
            <w:rFonts w:ascii="Times New Roman" w:eastAsia="標楷體" w:hAnsi="Times New Roman" w:cs="Times New Roman"/>
            <w:sz w:val="24"/>
          </w:rPr>
          <w:t>第</w:t>
        </w:r>
        <w:r w:rsidRPr="001E7D73">
          <w:rPr>
            <w:rFonts w:ascii="Times New Roman" w:eastAsia="標楷體" w:hAnsi="Times New Roman" w:cs="Times New Roman"/>
            <w:sz w:val="24"/>
          </w:rPr>
          <w:fldChar w:fldCharType="begin"/>
        </w:r>
        <w:r w:rsidRPr="001E7D73">
          <w:rPr>
            <w:rFonts w:ascii="Times New Roman" w:eastAsia="標楷體" w:hAnsi="Times New Roman" w:cs="Times New Roman"/>
            <w:sz w:val="24"/>
          </w:rPr>
          <w:instrText>PAGE   \* MERGEFORMAT</w:instrText>
        </w:r>
        <w:r w:rsidRPr="001E7D73">
          <w:rPr>
            <w:rFonts w:ascii="Times New Roman" w:eastAsia="標楷體" w:hAnsi="Times New Roman" w:cs="Times New Roman"/>
            <w:sz w:val="24"/>
          </w:rPr>
          <w:fldChar w:fldCharType="separate"/>
        </w:r>
        <w:r w:rsidR="00DB42CB" w:rsidRPr="00DB42CB">
          <w:rPr>
            <w:rFonts w:ascii="Times New Roman" w:eastAsia="標楷體" w:hAnsi="Times New Roman" w:cs="Times New Roman"/>
            <w:noProof/>
            <w:sz w:val="24"/>
            <w:lang w:val="zh-TW"/>
          </w:rPr>
          <w:t>5</w:t>
        </w:r>
        <w:r w:rsidRPr="001E7D73">
          <w:rPr>
            <w:rFonts w:ascii="Times New Roman" w:eastAsia="標楷體" w:hAnsi="Times New Roman" w:cs="Times New Roman"/>
            <w:sz w:val="24"/>
          </w:rPr>
          <w:fldChar w:fldCharType="end"/>
        </w:r>
        <w:r w:rsidRPr="001E7D73">
          <w:rPr>
            <w:rFonts w:ascii="Times New Roman" w:eastAsia="標楷體" w:hAnsi="Times New Roman" w:cs="Times New Roman"/>
            <w:sz w:val="24"/>
          </w:rPr>
          <w:t>頁</w:t>
        </w:r>
      </w:p>
    </w:sdtContent>
  </w:sdt>
  <w:p w:rsidR="001E7D73" w:rsidRDefault="001E7D7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28C" w:rsidRDefault="0093428C" w:rsidP="00C1744E">
      <w:r>
        <w:separator/>
      </w:r>
    </w:p>
  </w:footnote>
  <w:footnote w:type="continuationSeparator" w:id="0">
    <w:p w:rsidR="0093428C" w:rsidRDefault="0093428C" w:rsidP="00C1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7CF"/>
    <w:multiLevelType w:val="hybridMultilevel"/>
    <w:tmpl w:val="932EBA28"/>
    <w:lvl w:ilvl="0" w:tplc="5BE84FD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41B083E"/>
    <w:multiLevelType w:val="hybridMultilevel"/>
    <w:tmpl w:val="932EBA28"/>
    <w:lvl w:ilvl="0" w:tplc="5BE84FD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1B67000"/>
    <w:multiLevelType w:val="hybridMultilevel"/>
    <w:tmpl w:val="932EBA28"/>
    <w:lvl w:ilvl="0" w:tplc="5BE84FD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F145B49"/>
    <w:multiLevelType w:val="hybridMultilevel"/>
    <w:tmpl w:val="932EBA28"/>
    <w:lvl w:ilvl="0" w:tplc="5BE84FD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3F5866BD"/>
    <w:multiLevelType w:val="hybridMultilevel"/>
    <w:tmpl w:val="2CF416BE"/>
    <w:lvl w:ilvl="0" w:tplc="D318DE84">
      <w:start w:val="1"/>
      <w:numFmt w:val="taiwaneseCountingThousand"/>
      <w:lvlText w:val="(%1)"/>
      <w:lvlJc w:val="left"/>
      <w:pPr>
        <w:ind w:left="1356" w:hanging="9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5F9406EC"/>
    <w:multiLevelType w:val="hybridMultilevel"/>
    <w:tmpl w:val="6EAEA590"/>
    <w:lvl w:ilvl="0" w:tplc="38E06308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68AA082C"/>
    <w:multiLevelType w:val="hybridMultilevel"/>
    <w:tmpl w:val="2F563BA0"/>
    <w:lvl w:ilvl="0" w:tplc="83B071E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F52690A"/>
    <w:multiLevelType w:val="hybridMultilevel"/>
    <w:tmpl w:val="932EBA28"/>
    <w:lvl w:ilvl="0" w:tplc="5BE84FD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73DA37C4"/>
    <w:multiLevelType w:val="hybridMultilevel"/>
    <w:tmpl w:val="932EBA28"/>
    <w:lvl w:ilvl="0" w:tplc="5BE84FD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73FC610B"/>
    <w:multiLevelType w:val="hybridMultilevel"/>
    <w:tmpl w:val="75C0E5D4"/>
    <w:lvl w:ilvl="0" w:tplc="C2A0F65A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>
    <w:nsid w:val="7640357F"/>
    <w:multiLevelType w:val="hybridMultilevel"/>
    <w:tmpl w:val="932EBA28"/>
    <w:lvl w:ilvl="0" w:tplc="5BE84FD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76A45207"/>
    <w:multiLevelType w:val="hybridMultilevel"/>
    <w:tmpl w:val="932EBA28"/>
    <w:lvl w:ilvl="0" w:tplc="5BE84FD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87"/>
    <w:rsid w:val="00096C68"/>
    <w:rsid w:val="000F7129"/>
    <w:rsid w:val="001001A4"/>
    <w:rsid w:val="0013143C"/>
    <w:rsid w:val="001412F0"/>
    <w:rsid w:val="001A2CA5"/>
    <w:rsid w:val="001E7D73"/>
    <w:rsid w:val="002673E5"/>
    <w:rsid w:val="002E0227"/>
    <w:rsid w:val="00327B2D"/>
    <w:rsid w:val="003E7967"/>
    <w:rsid w:val="00581854"/>
    <w:rsid w:val="00755087"/>
    <w:rsid w:val="008E7B9C"/>
    <w:rsid w:val="008F5388"/>
    <w:rsid w:val="0093428C"/>
    <w:rsid w:val="00961DC0"/>
    <w:rsid w:val="00983E41"/>
    <w:rsid w:val="009B632F"/>
    <w:rsid w:val="00A57D83"/>
    <w:rsid w:val="00B17574"/>
    <w:rsid w:val="00B64B95"/>
    <w:rsid w:val="00B97EC7"/>
    <w:rsid w:val="00BC7A4E"/>
    <w:rsid w:val="00BF0827"/>
    <w:rsid w:val="00C1744E"/>
    <w:rsid w:val="00C34F20"/>
    <w:rsid w:val="00C42AF2"/>
    <w:rsid w:val="00C87643"/>
    <w:rsid w:val="00CD0F2C"/>
    <w:rsid w:val="00CD16F8"/>
    <w:rsid w:val="00DB42CB"/>
    <w:rsid w:val="00DE6B10"/>
    <w:rsid w:val="00F13330"/>
    <w:rsid w:val="00FA67E7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A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BC7A4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C7A4E"/>
  </w:style>
  <w:style w:type="character" w:customStyle="1" w:styleId="a6">
    <w:name w:val="註解文字 字元"/>
    <w:basedOn w:val="a0"/>
    <w:link w:val="a5"/>
    <w:uiPriority w:val="99"/>
    <w:semiHidden/>
    <w:rsid w:val="00BC7A4E"/>
  </w:style>
  <w:style w:type="paragraph" w:styleId="a7">
    <w:name w:val="annotation subject"/>
    <w:basedOn w:val="a5"/>
    <w:next w:val="a5"/>
    <w:link w:val="a8"/>
    <w:uiPriority w:val="99"/>
    <w:semiHidden/>
    <w:unhideWhenUsed/>
    <w:rsid w:val="00BC7A4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C7A4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7A4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17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1744E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17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1744E"/>
    <w:rPr>
      <w:sz w:val="20"/>
      <w:szCs w:val="20"/>
    </w:rPr>
  </w:style>
  <w:style w:type="paragraph" w:styleId="af">
    <w:name w:val="Date"/>
    <w:basedOn w:val="a"/>
    <w:next w:val="a"/>
    <w:link w:val="af0"/>
    <w:uiPriority w:val="99"/>
    <w:semiHidden/>
    <w:unhideWhenUsed/>
    <w:rsid w:val="008F5388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8F5388"/>
  </w:style>
  <w:style w:type="table" w:styleId="af1">
    <w:name w:val="Table Grid"/>
    <w:basedOn w:val="a1"/>
    <w:uiPriority w:val="59"/>
    <w:rsid w:val="008F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A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BC7A4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C7A4E"/>
  </w:style>
  <w:style w:type="character" w:customStyle="1" w:styleId="a6">
    <w:name w:val="註解文字 字元"/>
    <w:basedOn w:val="a0"/>
    <w:link w:val="a5"/>
    <w:uiPriority w:val="99"/>
    <w:semiHidden/>
    <w:rsid w:val="00BC7A4E"/>
  </w:style>
  <w:style w:type="paragraph" w:styleId="a7">
    <w:name w:val="annotation subject"/>
    <w:basedOn w:val="a5"/>
    <w:next w:val="a5"/>
    <w:link w:val="a8"/>
    <w:uiPriority w:val="99"/>
    <w:semiHidden/>
    <w:unhideWhenUsed/>
    <w:rsid w:val="00BC7A4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C7A4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7A4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17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1744E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17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1744E"/>
    <w:rPr>
      <w:sz w:val="20"/>
      <w:szCs w:val="20"/>
    </w:rPr>
  </w:style>
  <w:style w:type="paragraph" w:styleId="af">
    <w:name w:val="Date"/>
    <w:basedOn w:val="a"/>
    <w:next w:val="a"/>
    <w:link w:val="af0"/>
    <w:uiPriority w:val="99"/>
    <w:semiHidden/>
    <w:unhideWhenUsed/>
    <w:rsid w:val="008F5388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8F5388"/>
  </w:style>
  <w:style w:type="table" w:styleId="af1">
    <w:name w:val="Table Grid"/>
    <w:basedOn w:val="a1"/>
    <w:uiPriority w:val="59"/>
    <w:rsid w:val="008F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李惠珍</dc:creator>
  <cp:lastModifiedBy>李惠珍</cp:lastModifiedBy>
  <cp:revision>3</cp:revision>
  <dcterms:created xsi:type="dcterms:W3CDTF">2017-12-26T01:12:00Z</dcterms:created>
  <dcterms:modified xsi:type="dcterms:W3CDTF">2017-12-26T01:27:00Z</dcterms:modified>
</cp:coreProperties>
</file>