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DF" w:rsidRPr="00C05CDF" w:rsidRDefault="00C05CDF" w:rsidP="00C05CDF">
      <w:pPr>
        <w:widowControl/>
        <w:shd w:val="clear" w:color="auto" w:fill="FFFFFF"/>
        <w:adjustRightInd w:val="0"/>
        <w:snapToGrid w:val="0"/>
        <w:ind w:left="301"/>
        <w:outlineLvl w:val="2"/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</w:pP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201</w:t>
      </w:r>
      <w:r w:rsidR="00EE39C2">
        <w:rPr>
          <w:rFonts w:ascii="Arial" w:eastAsia="新細明體" w:hAnsi="Arial" w:cs="Arial" w:hint="eastAsia"/>
          <w:b/>
          <w:bCs/>
          <w:color w:val="333333"/>
          <w:spacing w:val="15"/>
          <w:kern w:val="0"/>
          <w:sz w:val="36"/>
          <w:szCs w:val="36"/>
        </w:rPr>
        <w:t>8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年</w:t>
      </w:r>
      <w:proofErr w:type="gramStart"/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臺</w:t>
      </w:r>
      <w:proofErr w:type="gramEnd"/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加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(MOST-NSERC)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共同徵求雙邊合作研究計畫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 xml:space="preserve"> International Collaborations - Concurrent </w:t>
      </w:r>
      <w:r w:rsidR="00D4516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Call for Joint Researc</w:t>
      </w:r>
      <w:r w:rsidR="00D4516F">
        <w:rPr>
          <w:rFonts w:ascii="Arial" w:eastAsia="新細明體" w:hAnsi="Arial" w:cs="Arial" w:hint="eastAsia"/>
          <w:b/>
          <w:bCs/>
          <w:color w:val="333333"/>
          <w:spacing w:val="15"/>
          <w:kern w:val="0"/>
          <w:sz w:val="36"/>
          <w:szCs w:val="36"/>
        </w:rPr>
        <w:t>h Projects</w:t>
      </w:r>
      <w:r w:rsidR="00D4516F">
        <w:rPr>
          <w:rFonts w:ascii="Arial" w:eastAsia="新細明體" w:hAnsi="Arial" w:cs="Arial" w:hint="eastAsia"/>
          <w:b/>
          <w:bCs/>
          <w:color w:val="333333"/>
          <w:spacing w:val="15"/>
          <w:kern w:val="0"/>
          <w:sz w:val="36"/>
          <w:szCs w:val="36"/>
        </w:rPr>
        <w:t>」計畫徵求公告</w:t>
      </w:r>
    </w:p>
    <w:p w:rsidR="00C05CDF" w:rsidRPr="00C05CDF" w:rsidRDefault="00F767E9" w:rsidP="00C05CDF">
      <w:pPr>
        <w:widowControl/>
        <w:shd w:val="clear" w:color="auto" w:fill="FFFFFF"/>
        <w:spacing w:line="450" w:lineRule="atLeast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hyperlink r:id="rId7" w:anchor="start-content" w:tooltip="主要內容" w:history="1">
        <w:r w:rsidR="00C05CDF" w:rsidRPr="00C05CDF">
          <w:rPr>
            <w:rFonts w:ascii="Arial" w:eastAsia="新細明體" w:hAnsi="Arial" w:cs="Arial"/>
            <w:color w:val="FFFFFF"/>
            <w:spacing w:val="15"/>
            <w:kern w:val="0"/>
            <w:sz w:val="21"/>
            <w:szCs w:val="21"/>
            <w:u w:val="single"/>
          </w:rPr>
          <w:t>:::</w:t>
        </w:r>
      </w:hyperlink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為提昇我國與加國間之國際合作研究水準，本部與加拿大自然科學暨工程研究委員會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Natural Sciences and Engineering Research Council of Canada (NSERC)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共同徵求雙邊合作研究計畫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(Concurrent Call for Proposals for Joint Research Projects)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。鼓勵兩國研究人員及團隊針對共同有興趣之研究主題，提出優質之合作研究計畫案。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加拿大自然科學暨工程研究委員會成立於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1978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5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日，屬於加拿大政府的組織，專門在科技領域作策略性的研究投資與計畫補助，透過和大學、政府及私人機構合作促進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project research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；提供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discovery grants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協助大學作基礎研究。補助研究領域限定於自然科學與工程應用科學研究。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本項共同徵求雙邊合作研究計畫須由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加雙邊各有主持人組成一個研究群，共同提出並完成。其中加方主持人須依加拿大自然科學暨工程研究委員會之規定，循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NSERC-Strategic Project Grants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線上申請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程序辦理。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方計畫主持人則須符合本部規定以線上作業方式向本部提出申請。但雙方計畫名稱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英文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須相同，計畫申請數每人以一件為限。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本次徵求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</w:t>
      </w:r>
      <w:r w:rsidR="005A23DF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bookmarkStart w:id="0" w:name="_GoBack"/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加雙邊合作專題研究計畫</w:t>
      </w:r>
      <w:bookmarkEnd w:id="0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，加方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將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採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兩階段線上作業，第一階段為系統註冊及提出</w:t>
      </w:r>
      <w:r w:rsidR="00A812A2" w:rsidRPr="00A812A2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意向書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；第二階段為提送完整計畫書。我方僅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採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單階段作業。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一、申請資格：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1.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我方申請人須符合本部專題研究計畫申請人資格。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2.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加方申請人須符合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公告之規定。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二、申請作業重要日期：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    1.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本部申請案收件截止日期：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</w:t>
      </w:r>
      <w:r w:rsidR="00EE39C2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6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="00D4516F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日（以申請機構發文日為憑）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 xml:space="preserve">    2.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本部申請案審查結果通知：預計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</w:t>
      </w:r>
      <w:r w:rsidR="00EE39C2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月底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3.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加方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Strategic Partnership Grants for Projects: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          Letter of intent: February 1, 201</w:t>
      </w:r>
      <w:r w:rsidR="00655C69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8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lastRenderedPageBreak/>
        <w:t>           Invitation to submit full application: April 1, 201</w:t>
      </w:r>
      <w:r w:rsidR="00655C69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          Full application (only if invited by NSERC): June 7, 201</w:t>
      </w:r>
      <w:r w:rsidR="00655C69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8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三、執行期限：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以補助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一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至三年期國際合作研究計畫為原則。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四、計畫執行日期：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經雙方共同審核通過之計畫自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</w:t>
      </w:r>
      <w:r w:rsidR="00655C69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9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日開始執行。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五、限定合作領域及主題：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1. Advanced Manufacturing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2. Environment and Agriculture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3. Information and Communications Technologies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4. Natural Resources and Energy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   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詳細內容請參考網址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hyperlink r:id="rId8" w:anchor="Projects" w:history="1">
        <w:r w:rsidRPr="00C05CDF">
          <w:rPr>
            <w:rFonts w:ascii="Arial" w:eastAsia="新細明體" w:hAnsi="Arial" w:cs="Arial"/>
            <w:color w:val="006CB8"/>
            <w:spacing w:val="15"/>
            <w:kern w:val="0"/>
            <w:sz w:val="21"/>
            <w:szCs w:val="21"/>
            <w:u w:val="single"/>
          </w:rPr>
          <w:t>http://www.nserc-crsng.gc.ca/Professors-Professeurs/RPP-PP/SPG-SPS_eng.asp#Projects</w:t>
        </w:r>
      </w:hyperlink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六、補助項目：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加雙方根據其自己的規則和慣例分別補助所需經費，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將資助加拿大的研究人員。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七、申請程序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: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1.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第一階段申請作業方式</w:t>
      </w:r>
      <w:proofErr w:type="gramStart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—</w:t>
      </w:r>
      <w:proofErr w:type="gramEnd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註冊及提出意向書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(Letter of Intent)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此為加方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將進行申請案初審。註冊截止日期為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</w:t>
      </w:r>
      <w:r w:rsidR="005A23DF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1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加拿大當地時間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此階段之線上作業，由加方計畫主持人負責至加方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之申辦系統進行計畫註冊及提交意向書；</w:t>
      </w:r>
      <w:proofErr w:type="gramStart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惟</w:t>
      </w:r>
      <w:proofErr w:type="gramEnd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，雙方合作之內容應經臺灣與加拿大兩方主持人共同討論與彼此同意。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注意：為有助我方計畫案之申請提醒，以確保雙邊計畫案之成立，我方計畫主持人於加方主持人向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完成第一階段計畫註冊程序後，亦請以電子郵件通知本案本部承辦人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(e-mail: jenhu@most.gov.tw 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，電郵主旨請寫：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201</w:t>
      </w:r>
      <w:r w:rsidR="005A23DF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MOST-NSERC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計畫申請案註冊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—XXX(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主持人姓名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，並附上計畫基本資料表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(Table_C01)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及意向書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檔案；本項通知請配合於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</w:t>
      </w:r>
      <w:r w:rsidR="00212313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</w:t>
      </w:r>
      <w:r w:rsidR="00212313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5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日前提供。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      2.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第二階段申請作業方式</w:t>
      </w:r>
      <w:proofErr w:type="gramStart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—</w:t>
      </w:r>
      <w:proofErr w:type="gramEnd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提送完整計畫書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此階段必需為曾完成第一階段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線上系統註冊及提</w:t>
      </w:r>
      <w:r w:rsidR="00A812A2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意向書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且經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初步篩選後邀請提送計畫書者始可提出，且應由臺灣及加拿大的計畫主持人各自依本部及加方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(NSERC)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兩單位線上作業系統之規定完成申請程序及提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lastRenderedPageBreak/>
        <w:t>交完整計畫書。計畫書內容應與原意向書相符。我方申請截止日期為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</w:t>
      </w:r>
      <w:r w:rsidR="005067B5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 6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1</w:t>
      </w:r>
      <w:r w:rsidR="005067B5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日（以申請機構發文日為憑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</w:t>
      </w:r>
      <w:r w:rsidR="005067B5">
        <w:rPr>
          <w:rFonts w:ascii="Arial" w:eastAsia="新細明體" w:hAnsi="Arial" w:cs="Arial" w:hint="eastAsia"/>
          <w:b/>
          <w:bCs/>
          <w:color w:val="555555"/>
          <w:spacing w:val="15"/>
          <w:kern w:val="0"/>
          <w:sz w:val="21"/>
          <w:szCs w:val="21"/>
        </w:rPr>
        <w:t>8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6 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7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日。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 xml:space="preserve">3. 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請依循本部專題研究計畫之申請程序，於線上系統填列計畫申請書：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(1)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至本部網站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 </w:t>
      </w:r>
      <w:hyperlink r:id="rId9" w:history="1">
        <w:r w:rsidRPr="00C05CDF">
          <w:rPr>
            <w:rFonts w:ascii="Arial" w:eastAsia="新細明體" w:hAnsi="Arial" w:cs="Arial"/>
            <w:color w:val="006CB8"/>
            <w:spacing w:val="15"/>
            <w:kern w:val="0"/>
            <w:sz w:val="21"/>
            <w:szCs w:val="21"/>
            <w:u w:val="single"/>
          </w:rPr>
          <w:t>https://www.most.gov.tw/ch/academic</w:t>
        </w:r>
      </w:hyperlink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首頁「學術研發服務網登入」處，身分選擇「研究人員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含學生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」，輸入申請人之帳號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(ID)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及密碼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(Password)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後進入。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(2)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在「學術研發服務網」之學術獎補助申辦及查詢內之「專題計畫」工作頁下第一項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專題研究計畫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點入後，選擇「雙邊協議專案型國際合作計畫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(Joint Call)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」進入個人基本資料畫面，若無修改，確定後即進入本系統之「主畫面」，從主畫面視窗上左上方點選新增，即可新增一筆。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(3)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「計畫歸屬」請依計畫研究主題及所屬學門勾選對應之學術司（請勿直接選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”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科教國合司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）。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(4)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英文計畫名稱應與加方所提計畫名稱相同。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(5) CM01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申請表內「本計畫是否為國際合作研究」欄位應勾選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是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；並須於表格設定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處加勾選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IM03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(6)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除一般專題計畫申請所需之各項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CM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表及相關學術司規定文件，亦應填具「國際合作研究計畫表」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IM01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與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IM02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，相關附件。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(7) IM01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表之「合作國家」請選「與單一國家合作」，「國別」請選填「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403-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加拿大」。「外國合作計畫經費來源」為本部雙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/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多邊協議機構，並選填「加拿大自然科學暨工程研究委員會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(NSERC)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」。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(8)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表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IM03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屬檔案附錄之上傳功能鍵，請將本項申請案之加方計畫書、加方計畫主持人英文履歷及著作目錄等資料合併為單一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PDF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檔案後上傳至系統。未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上傳者視為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申請資料不全。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(9)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計畫執行期間請填：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日起至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2020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31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一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至三年期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(10)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計畫申請案須經主持人任職機構於系統中彙整後送出，依本部「專題計畫線上申請彙整」作業系統製作及列印申請名冊（由系統自動產生，並按計畫歸屬司別列印）一式二份函送本部。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八、計畫件數：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1.  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本項「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加雙邊科技合作計畫」不計入「研究案」計畫件數，惟須併入雙邊合作補助案計算，同時間雙邊合作補助案件數不得超過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2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件。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2.  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若申請人目前已持有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2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件本部「雙邊協議專案型國際合作研究計畫」，且其計畫執行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日期均與本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次徵求案之預定執行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起迄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日達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3 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個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月以上重疊者，本部得不受理補助。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lastRenderedPageBreak/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九、注意事項：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1.  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計畫申請人應針對本次公告的研究主題提出國際合作計畫。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2.  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本項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加共同研究計畫需經本部及加拿大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雙方審查均通過才算成立並予以補助。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十、聯絡人：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      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  <w:u w:val="single"/>
        </w:rPr>
        <w:t>MOST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Ms. Jennifer Hu (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胡秀娟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Program Director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Department of International Cooperation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&amp; Science Education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Ministry of Science and Technology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Republic of China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科技部科教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發展及國際合作司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Tel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:886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-2-2737-7560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Email: jenhu@most.gov.tw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  <w:u w:val="single"/>
        </w:rPr>
        <w:t>NSERC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Kristina Archibald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Manager 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Energy, Environment and Resources Division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Research Partnerships 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Natural Sciences and Engineering Research Council of Canada 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Kristina.Archibald@nserc-crsng.gc.ca  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350 Albert Street, Ottawa </w:t>
      </w:r>
      <w:proofErr w:type="gramStart"/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ON  K1A</w:t>
      </w:r>
      <w:proofErr w:type="gramEnd"/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1H5 | 350, rue Albert, Ottawa ON  K1A 1H5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proofErr w:type="gramStart"/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Telephone  613</w:t>
      </w:r>
      <w:proofErr w:type="gramEnd"/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-996-6331     </w:t>
      </w:r>
    </w:p>
    <w:p w:rsidR="00655C69" w:rsidRPr="00655C69" w:rsidRDefault="00655C69" w:rsidP="00655C69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Facsimile </w:t>
      </w:r>
      <w:r w:rsidR="00DE24FE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 xml:space="preserve"> </w:t>
      </w:r>
      <w:r w:rsidRPr="00655C69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613-992-5337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pBdr>
          <w:left w:val="single" w:sz="48" w:space="8" w:color="D23637"/>
        </w:pBdr>
        <w:shd w:val="clear" w:color="auto" w:fill="FFFFFF"/>
        <w:spacing w:after="300" w:line="375" w:lineRule="atLeast"/>
        <w:outlineLvl w:val="3"/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</w:rPr>
      </w:pPr>
      <w:r w:rsidRPr="00C05CDF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</w:rPr>
        <w:t>附加檔案</w:t>
      </w:r>
    </w:p>
    <w:p w:rsidR="00F44F22" w:rsidRDefault="00F767E9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hyperlink r:id="rId10" w:tooltip="Table_C01" w:history="1">
        <w:r w:rsidR="00C05CDF" w:rsidRPr="00C05CDF">
          <w:rPr>
            <w:rFonts w:ascii="Arial" w:eastAsia="新細明體" w:hAnsi="Arial" w:cs="Arial"/>
            <w:color w:val="333333"/>
            <w:spacing w:val="15"/>
            <w:kern w:val="0"/>
            <w:sz w:val="21"/>
            <w:szCs w:val="21"/>
            <w:u w:val="single"/>
          </w:rPr>
          <w:t>Table_C01.xlsx</w:t>
        </w:r>
      </w:hyperlink>
    </w:p>
    <w:p w:rsidR="00C05CDF" w:rsidRPr="00C05CDF" w:rsidRDefault="00F767E9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hyperlink r:id="rId11" w:tooltip="SPG-PLOI_proposal_form" w:history="1">
        <w:r w:rsidR="00C05CDF" w:rsidRPr="00C05CDF">
          <w:rPr>
            <w:rFonts w:ascii="Arial" w:eastAsia="新細明體" w:hAnsi="Arial" w:cs="Arial"/>
            <w:color w:val="333333"/>
            <w:spacing w:val="15"/>
            <w:kern w:val="0"/>
            <w:sz w:val="21"/>
            <w:szCs w:val="21"/>
            <w:u w:val="single"/>
          </w:rPr>
          <w:t>SPG-PLOI_proposal_form.pdf</w:t>
        </w:r>
      </w:hyperlink>
    </w:p>
    <w:p w:rsidR="00C05CDF" w:rsidRPr="00C05CDF" w:rsidRDefault="00C05CDF" w:rsidP="00C05CDF">
      <w:pPr>
        <w:widowControl/>
        <w:shd w:val="clear" w:color="auto" w:fill="EEEEEE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更新日期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: 2017/</w:t>
      </w:r>
      <w:r w:rsidR="00DE24FE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10</w:t>
      </w:r>
      <w:r w:rsidR="00DE24FE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/2</w:t>
      </w:r>
      <w:r w:rsidR="00DE24FE"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  <w:t>6</w:t>
      </w:r>
    </w:p>
    <w:p w:rsidR="00AB237F" w:rsidRDefault="00AB237F"/>
    <w:sectPr w:rsidR="00AB2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E9" w:rsidRDefault="00F767E9" w:rsidP="0048771C">
      <w:r>
        <w:separator/>
      </w:r>
    </w:p>
  </w:endnote>
  <w:endnote w:type="continuationSeparator" w:id="0">
    <w:p w:rsidR="00F767E9" w:rsidRDefault="00F767E9" w:rsidP="004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E9" w:rsidRDefault="00F767E9" w:rsidP="0048771C">
      <w:r>
        <w:separator/>
      </w:r>
    </w:p>
  </w:footnote>
  <w:footnote w:type="continuationSeparator" w:id="0">
    <w:p w:rsidR="00F767E9" w:rsidRDefault="00F767E9" w:rsidP="0048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DF"/>
    <w:rsid w:val="00104B63"/>
    <w:rsid w:val="00212313"/>
    <w:rsid w:val="00273475"/>
    <w:rsid w:val="002943EE"/>
    <w:rsid w:val="0048771C"/>
    <w:rsid w:val="005067B5"/>
    <w:rsid w:val="005A23DF"/>
    <w:rsid w:val="005B7459"/>
    <w:rsid w:val="00655C69"/>
    <w:rsid w:val="006F78CF"/>
    <w:rsid w:val="00791BA4"/>
    <w:rsid w:val="00A812A2"/>
    <w:rsid w:val="00AB237F"/>
    <w:rsid w:val="00C05CDF"/>
    <w:rsid w:val="00D4516F"/>
    <w:rsid w:val="00DE24FE"/>
    <w:rsid w:val="00EE39C2"/>
    <w:rsid w:val="00F44F22"/>
    <w:rsid w:val="00F72345"/>
    <w:rsid w:val="00F7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7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7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23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7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7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2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785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493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89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14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69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300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874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851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0" w:color="D23637"/>
                <w:bottom w:val="none" w:sz="0" w:space="0" w:color="auto"/>
                <w:right w:val="none" w:sz="0" w:space="0" w:color="auto"/>
              </w:divBdr>
            </w:div>
            <w:div w:id="1160148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26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1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70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erc-crsng.gc.ca/Professors-Professeurs/RPP-PP/SPG-SPS_eng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st.gov.tw/folksonomy/detail/?subSite=main&amp;article_uid=27011702-0a31-4fd7-b9e8-fc8b0dd073d2&amp;menu_id=9b7b455c-006b-11e5-aa78-bcaec51ad21b&amp;content_type=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most.gov.tw/most/attachments/bc387006-ca54-41d2-8ad4-7b10adc261e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ost.gov.tw/most/attachments/c6a3a317-1f2b-4279-8b65-121fbd348a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t.gov.tw/ch/academi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胡秀娟</dc:creator>
  <cp:lastModifiedBy>i2506</cp:lastModifiedBy>
  <cp:revision>2</cp:revision>
  <cp:lastPrinted>2017-10-31T10:05:00Z</cp:lastPrinted>
  <dcterms:created xsi:type="dcterms:W3CDTF">2017-11-08T02:01:00Z</dcterms:created>
  <dcterms:modified xsi:type="dcterms:W3CDTF">2017-11-08T02:01:00Z</dcterms:modified>
</cp:coreProperties>
</file>