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2A" w:rsidRPr="00FB5E10" w:rsidRDefault="008927CF" w:rsidP="00FB5E10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B5E10">
        <w:rPr>
          <w:rFonts w:ascii="標楷體" w:eastAsia="標楷體" w:hAnsi="標楷體" w:hint="eastAsia"/>
          <w:b/>
          <w:sz w:val="36"/>
          <w:szCs w:val="36"/>
        </w:rPr>
        <w:t>公教人員退撫制度改革網路流傳資訊澄清說明</w:t>
      </w:r>
    </w:p>
    <w:tbl>
      <w:tblPr>
        <w:tblStyle w:val="a3"/>
        <w:tblW w:w="4942" w:type="pct"/>
        <w:jc w:val="center"/>
        <w:tblLook w:val="04A0" w:firstRow="1" w:lastRow="0" w:firstColumn="1" w:lastColumn="0" w:noHBand="0" w:noVBand="1"/>
      </w:tblPr>
      <w:tblGrid>
        <w:gridCol w:w="3174"/>
        <w:gridCol w:w="6004"/>
      </w:tblGrid>
      <w:tr w:rsidR="008927CF" w:rsidRPr="00E23067" w:rsidTr="00FB5E10">
        <w:trPr>
          <w:jc w:val="center"/>
        </w:trPr>
        <w:tc>
          <w:tcPr>
            <w:tcW w:w="1729" w:type="pct"/>
          </w:tcPr>
          <w:p w:rsidR="008927CF" w:rsidRPr="00D278DA" w:rsidRDefault="00D278DA" w:rsidP="00E23067">
            <w:pPr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D278DA">
              <w:rPr>
                <w:rFonts w:ascii="標楷體" w:eastAsia="標楷體" w:hAnsi="標楷體" w:hint="eastAsia"/>
                <w:sz w:val="27"/>
                <w:szCs w:val="27"/>
              </w:rPr>
              <w:t>網路流傳資訊</w:t>
            </w:r>
          </w:p>
        </w:tc>
        <w:tc>
          <w:tcPr>
            <w:tcW w:w="3271" w:type="pct"/>
          </w:tcPr>
          <w:p w:rsidR="008927CF" w:rsidRPr="00E23067" w:rsidRDefault="008927CF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正確資訊</w:t>
            </w:r>
          </w:p>
        </w:tc>
      </w:tr>
      <w:tr w:rsidR="008927CF" w:rsidRPr="00E23067" w:rsidTr="00FB5E10">
        <w:trPr>
          <w:jc w:val="center"/>
        </w:trPr>
        <w:tc>
          <w:tcPr>
            <w:tcW w:w="1729" w:type="pct"/>
          </w:tcPr>
          <w:p w:rsidR="008927CF" w:rsidRPr="00E23067" w:rsidRDefault="008927CF" w:rsidP="00E23067">
            <w:pPr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【澄清1】</w:t>
            </w:r>
          </w:p>
          <w:p w:rsidR="008927CF" w:rsidRPr="00E23067" w:rsidRDefault="008927CF" w:rsidP="00E23067">
            <w:pPr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有關網路流傳「</w:t>
            </w:r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公教人員月退休金與薪資調整脫勾，永遠</w:t>
            </w:r>
            <w:proofErr w:type="gramStart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不</w:t>
            </w:r>
            <w:proofErr w:type="gramEnd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調高</w:t>
            </w: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」錯誤資訊之澄清</w:t>
            </w:r>
          </w:p>
        </w:tc>
        <w:tc>
          <w:tcPr>
            <w:tcW w:w="3271" w:type="pct"/>
          </w:tcPr>
          <w:p w:rsidR="008927CF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1. </w:t>
            </w:r>
            <w:r w:rsidR="008927CF" w:rsidRPr="00E23067">
              <w:rPr>
                <w:rFonts w:ascii="標楷體" w:eastAsia="標楷體" w:hAnsi="標楷體" w:hint="eastAsia"/>
                <w:sz w:val="27"/>
                <w:szCs w:val="27"/>
              </w:rPr>
              <w:t>依照立法院三讀通過的「公務人員退休資遣撫</w:t>
            </w:r>
            <w:proofErr w:type="gramStart"/>
            <w:r w:rsidR="008927CF" w:rsidRPr="00E23067">
              <w:rPr>
                <w:rFonts w:ascii="標楷體" w:eastAsia="標楷體" w:hAnsi="標楷體" w:hint="eastAsia"/>
                <w:sz w:val="27"/>
                <w:szCs w:val="27"/>
              </w:rPr>
              <w:t>卹</w:t>
            </w:r>
            <w:proofErr w:type="gramEnd"/>
            <w:r w:rsidR="008927CF" w:rsidRPr="00E23067">
              <w:rPr>
                <w:rFonts w:ascii="標楷體" w:eastAsia="標楷體" w:hAnsi="標楷體" w:hint="eastAsia"/>
                <w:sz w:val="27"/>
                <w:szCs w:val="27"/>
              </w:rPr>
              <w:t>法」第67條規定，</w:t>
            </w:r>
            <w:r w:rsidR="008927CF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公務人員月退休金的調整，是由考試院會同行政院視國家整體財政狀況、人口與經濟成長率、</w:t>
            </w:r>
            <w:bookmarkStart w:id="0" w:name="_GoBack"/>
            <w:bookmarkEnd w:id="0"/>
            <w:proofErr w:type="gramStart"/>
            <w:r w:rsidR="008927CF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平均餘命</w:t>
            </w:r>
            <w:proofErr w:type="gramEnd"/>
            <w:r w:rsidR="008927CF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、退撫基金準備率與其財務投資績效及消費者物價指數等因素</w:t>
            </w:r>
            <w:proofErr w:type="gramStart"/>
            <w:r w:rsidR="008927CF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綜合衡</w:t>
            </w:r>
            <w:proofErr w:type="gramEnd"/>
            <w:r w:rsidR="008927CF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酌後，訂定調整幅度</w:t>
            </w:r>
            <w:r w:rsidR="008927CF" w:rsidRPr="00E23067">
              <w:rPr>
                <w:rFonts w:ascii="標楷體" w:eastAsia="標楷體" w:hAnsi="標楷體" w:hint="eastAsia"/>
                <w:sz w:val="27"/>
                <w:szCs w:val="27"/>
              </w:rPr>
              <w:t>(公立學校教職員退休資遣撫</w:t>
            </w:r>
            <w:proofErr w:type="gramStart"/>
            <w:r w:rsidR="008927CF" w:rsidRPr="00E23067">
              <w:rPr>
                <w:rFonts w:ascii="標楷體" w:eastAsia="標楷體" w:hAnsi="標楷體" w:hint="eastAsia"/>
                <w:sz w:val="27"/>
                <w:szCs w:val="27"/>
              </w:rPr>
              <w:t>卹</w:t>
            </w:r>
            <w:proofErr w:type="gramEnd"/>
            <w:r w:rsidR="008927CF" w:rsidRPr="00E23067">
              <w:rPr>
                <w:rFonts w:ascii="標楷體" w:eastAsia="標楷體" w:hAnsi="標楷體" w:hint="eastAsia"/>
                <w:sz w:val="27"/>
                <w:szCs w:val="27"/>
              </w:rPr>
              <w:t>條例第67條)。</w:t>
            </w:r>
          </w:p>
          <w:p w:rsidR="008927CF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2. </w:t>
            </w:r>
            <w:r w:rsidR="008927CF" w:rsidRPr="00E23067">
              <w:rPr>
                <w:rFonts w:ascii="標楷體" w:eastAsia="標楷體" w:hAnsi="標楷體" w:hint="eastAsia"/>
                <w:sz w:val="27"/>
                <w:szCs w:val="27"/>
              </w:rPr>
              <w:t>據此，當公教人員調整薪俸時，退休公教人員的退休金也會依上述規定，檢討是否必須調整及調整幅度。所以，網路流傳未來公教人員月退休金永遠不會調高，是錯誤的資訊。</w:t>
            </w:r>
          </w:p>
        </w:tc>
      </w:tr>
      <w:tr w:rsidR="00073421" w:rsidRPr="00E23067" w:rsidTr="00FB5E10">
        <w:trPr>
          <w:jc w:val="center"/>
        </w:trPr>
        <w:tc>
          <w:tcPr>
            <w:tcW w:w="1729" w:type="pct"/>
          </w:tcPr>
          <w:p w:rsidR="00073421" w:rsidRPr="00E23067" w:rsidRDefault="00073421" w:rsidP="00E23067">
            <w:pPr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【澄清2】</w:t>
            </w:r>
          </w:p>
          <w:p w:rsidR="00073421" w:rsidRPr="00E23067" w:rsidRDefault="00073421" w:rsidP="00E23067">
            <w:pPr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讀者投書提及「此次公教人員年金法案，明訂『中華民國一百一十二年七月一日</w:t>
            </w:r>
            <w:proofErr w:type="gramStart"/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以後初</w:t>
            </w:r>
            <w:proofErr w:type="gramEnd"/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任公務人員</w:t>
            </w:r>
            <w:r w:rsidR="00FB5E10" w:rsidRPr="00E23067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公立學校教職員</w:t>
            </w:r>
            <w:r w:rsidR="00FB5E10" w:rsidRPr="00E23067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者，其退撫制度由主管機關重行建立，並另以法律定之』。初任人員建立全新制度，就是</w:t>
            </w:r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自新進人員另立新基金，將使舊有基金提早破產，導致長者困頓、</w:t>
            </w:r>
            <w:proofErr w:type="gramStart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壯者徬徨</w:t>
            </w:r>
            <w:proofErr w:type="gramEnd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，毀滅整個臺灣</w:t>
            </w: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」之澄清</w:t>
            </w:r>
          </w:p>
        </w:tc>
        <w:tc>
          <w:tcPr>
            <w:tcW w:w="3271" w:type="pct"/>
          </w:tcPr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1. 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對此，國家年金改革委員會特別表示：在112年全新制度尚未定案的情形下，上述報導中針對新制度提出的種種評論與舊有基金財務安全等問題，都屬於個人臆測且恐言過其實。澄清說明如下：</w:t>
            </w:r>
          </w:p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2. </w:t>
            </w:r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本次推動各類人員年金制度改革是</w:t>
            </w:r>
            <w:proofErr w:type="gramStart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採</w:t>
            </w:r>
            <w:proofErr w:type="gramEnd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分階段進行，故短期內仍</w:t>
            </w:r>
            <w:proofErr w:type="gramStart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採</w:t>
            </w:r>
            <w:proofErr w:type="gramEnd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制度分立，各自檢討，以及時解決現行制度面臨的急迫性問題；長遠而言，再規劃建立新制度。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基此目標，本次經立法院三讀通過的公教人員年金改革法案</w:t>
            </w:r>
            <w:proofErr w:type="gramStart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中均明定</w:t>
            </w:r>
            <w:proofErr w:type="gramEnd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112年7月1日</w:t>
            </w:r>
            <w:proofErr w:type="gramStart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以後初</w:t>
            </w:r>
            <w:proofErr w:type="gramEnd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任人員的退撫制度，由主管機關重行建立並另以法律定之。</w:t>
            </w:r>
          </w:p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3. 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後續將由公教人員年金業務主管機關著手規劃建立新進人員新制度，一定會詳慎</w:t>
            </w:r>
            <w:proofErr w:type="gramStart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研</w:t>
            </w:r>
            <w:proofErr w:type="gramEnd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議及多方討論，並參考其他國家改革經驗，以提出長遠穩健可行之新制度；同時也要兼顧舊有基金之延續及安全。因此，關於</w:t>
            </w:r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112年新制度之建立，究竟要</w:t>
            </w:r>
            <w:proofErr w:type="gramStart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採</w:t>
            </w:r>
            <w:proofErr w:type="gramEnd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行何種制度，目前都尚未定案，若在此時就認定未來新進人員一定會另立新基金，以及現職人員是否結清，加入新基金等，都是對未來新制度之建立過早下定論。</w:t>
            </w:r>
          </w:p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4. 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為穩固現行公教退撫基金財務安全並減輕在職人員繳費壓力，本次三讀通過的公教人員年金改革法案中亦明定，</w:t>
            </w:r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已退休及現職公教人員</w:t>
            </w:r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lastRenderedPageBreak/>
              <w:t>於優惠存款利率及所得替代率調降後，各級政府可</w:t>
            </w:r>
            <w:proofErr w:type="gramStart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撙</w:t>
            </w:r>
            <w:proofErr w:type="gramEnd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節的預算支出，全數都要</w:t>
            </w:r>
            <w:proofErr w:type="gramStart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挹</w:t>
            </w:r>
            <w:proofErr w:type="gramEnd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注退撫基金，以適度延後退撫基金用罄年度。上述節省經費</w:t>
            </w:r>
            <w:proofErr w:type="gramStart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挹</w:t>
            </w:r>
            <w:proofErr w:type="gramEnd"/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注，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並不會受112年建立全新制度而有所減損，如此</w:t>
            </w:r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對現有舊基金仍可維持一定的財務穩健，同時在規劃全新制度時，配合擬訂完善財務執行方案，避免舊基金發生斷源情事</w:t>
            </w:r>
            <w:r w:rsid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，</w:t>
            </w:r>
            <w:r w:rsidR="00073421" w:rsidRPr="00D278D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致危及公教人員退撫權益。</w:t>
            </w:r>
          </w:p>
        </w:tc>
      </w:tr>
      <w:tr w:rsidR="00073421" w:rsidRPr="00E23067" w:rsidTr="00FB5E10">
        <w:trPr>
          <w:jc w:val="center"/>
        </w:trPr>
        <w:tc>
          <w:tcPr>
            <w:tcW w:w="1729" w:type="pct"/>
          </w:tcPr>
          <w:p w:rsidR="00073421" w:rsidRPr="00E23067" w:rsidRDefault="00073421" w:rsidP="00E23067">
            <w:pPr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【澄清3】</w:t>
            </w:r>
          </w:p>
          <w:p w:rsidR="00073421" w:rsidRPr="00E23067" w:rsidRDefault="00073421" w:rsidP="00E23067">
            <w:pPr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有關網路「</w:t>
            </w:r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退休軍公教22萬人，退休金如何省6700億元</w:t>
            </w: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」錯誤資訊的澄清</w:t>
            </w:r>
          </w:p>
        </w:tc>
        <w:tc>
          <w:tcPr>
            <w:tcW w:w="3271" w:type="pct"/>
          </w:tcPr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1. 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依據</w:t>
            </w:r>
            <w:proofErr w:type="gramStart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銓敘部與教育部</w:t>
            </w:r>
            <w:proofErr w:type="gramEnd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委託精算結果，本次推動年金改革後，各級政府預算約可節省1.4兆元(公務人員7千3百億元、教育人員6千7百億元</w:t>
            </w:r>
            <w:proofErr w:type="gramStart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  <w:proofErr w:type="gramEnd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，是指18%優惠存款調降或歸零，以及所得替代率調降的結果。這些金額都是</w:t>
            </w:r>
            <w:proofErr w:type="gramStart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按折現率折</w:t>
            </w:r>
            <w:proofErr w:type="gramEnd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現過的，而且不包括軍職人員。軍公教人員退休金1年可省6700億元的說法是錯誤的，政府從來就沒這樣說。</w:t>
            </w:r>
          </w:p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2. </w:t>
            </w:r>
            <w:r w:rsidR="00073421"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本次改革方案適用對象除了已退人員，還包括現職及未來新進人員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，都一併納入前述委託精算財務分析，不是網路資訊</w:t>
            </w:r>
            <w:proofErr w:type="gramStart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所說的退休</w:t>
            </w:r>
            <w:proofErr w:type="gramEnd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軍公教人員22萬人，也不是以此來計算</w:t>
            </w:r>
            <w:proofErr w:type="gramStart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年內每人每月因年改方案所扣減的金額。</w:t>
            </w:r>
          </w:p>
        </w:tc>
      </w:tr>
      <w:tr w:rsidR="00073421" w:rsidRPr="00E23067" w:rsidTr="00FB5E10">
        <w:trPr>
          <w:jc w:val="center"/>
        </w:trPr>
        <w:tc>
          <w:tcPr>
            <w:tcW w:w="1729" w:type="pct"/>
          </w:tcPr>
          <w:p w:rsidR="00073421" w:rsidRPr="00E23067" w:rsidRDefault="00073421" w:rsidP="00E23067">
            <w:pPr>
              <w:spacing w:line="24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【澄清4】讀者投書「</w:t>
            </w:r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只差一天離職，竟損失65萬!年金改革後，千萬別忽略這項魔鬼條款</w:t>
            </w: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>」之澄清</w:t>
            </w:r>
          </w:p>
        </w:tc>
        <w:tc>
          <w:tcPr>
            <w:tcW w:w="3271" w:type="pct"/>
          </w:tcPr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1. 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此說法是該讀者對年金改革方案的片面解讀，完全忽略年金改革方案整體性規劃。</w:t>
            </w:r>
          </w:p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2. 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事實上，本次三讀通過的公教人員年改法案中，對於法案施行以後離職的公教人員，訂有「年資保留與年資</w:t>
            </w:r>
            <w:proofErr w:type="gramStart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併</w:t>
            </w:r>
            <w:proofErr w:type="gramEnd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計、年金分計」的規定，以使離職公教人員原有公職年資退休給與，得到充分保障，也因此同步取消以往離職公教人員可領走政府分攤</w:t>
            </w:r>
            <w:proofErr w:type="gramStart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提撥</w:t>
            </w:r>
            <w:proofErr w:type="gramEnd"/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退撫基金本息的規定，如此規劃絶不是文章所提到的是「懲罰員工辭職的是『防脫逃條款』」，更不是政府在迴避雇主應負的退休金提撥責任。</w:t>
            </w:r>
          </w:p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3. </w:t>
            </w:r>
            <w:r w:rsidR="00073421"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在本次修法新法施行後離職者，如果不選擇申請發還自己繳付的退撫基金費用本息，還可以選擇適用「年資保留與年資</w:t>
            </w:r>
            <w:proofErr w:type="gramStart"/>
            <w:r w:rsidR="00073421"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併</w:t>
            </w:r>
            <w:proofErr w:type="gramEnd"/>
            <w:r w:rsidR="00073421"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計、年金分計」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規定：</w:t>
            </w:r>
          </w:p>
          <w:p w:rsidR="00073421" w:rsidRPr="00E23067" w:rsidRDefault="00073421" w:rsidP="00E23067">
            <w:pPr>
              <w:pStyle w:val="a4"/>
              <w:numPr>
                <w:ilvl w:val="1"/>
                <w:numId w:val="5"/>
              </w:numPr>
              <w:spacing w:line="240" w:lineRule="atLeast"/>
              <w:ind w:leftChars="150" w:left="765" w:hangingChars="150" w:hanging="405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保留年資：任職滿5年以上離職的公教人員，可以選擇保留年資，等到65歲6個月</w:t>
            </w:r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lastRenderedPageBreak/>
              <w:t>內申請領退休金，任職年資如果滿15年以上，還可以支領月退休金。</w:t>
            </w:r>
          </w:p>
          <w:p w:rsidR="00073421" w:rsidRPr="00E23067" w:rsidRDefault="00073421" w:rsidP="00E23067">
            <w:pPr>
              <w:pStyle w:val="a4"/>
              <w:numPr>
                <w:ilvl w:val="1"/>
                <w:numId w:val="5"/>
              </w:numPr>
              <w:spacing w:line="240" w:lineRule="atLeast"/>
              <w:ind w:leftChars="150" w:left="76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年資</w:t>
            </w:r>
            <w:proofErr w:type="gramStart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併</w:t>
            </w:r>
            <w:proofErr w:type="gramEnd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計、年金分計：若有</w:t>
            </w:r>
            <w:proofErr w:type="gramStart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轉任私部門</w:t>
            </w:r>
            <w:proofErr w:type="gramEnd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者，在原公職年資不足15年情形下，可以</w:t>
            </w:r>
            <w:proofErr w:type="gramStart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併計私</w:t>
            </w:r>
            <w:proofErr w:type="gramEnd"/>
            <w:r w:rsidRPr="00E23067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部門年資成就公職月退休金請領條件，至65歲6個月內申請月退休金。</w:t>
            </w:r>
          </w:p>
          <w:p w:rsidR="00073421" w:rsidRPr="00E23067" w:rsidRDefault="00E23067" w:rsidP="00E23067">
            <w:pPr>
              <w:spacing w:line="240" w:lineRule="atLeast"/>
              <w:ind w:left="405" w:hangingChars="150" w:hanging="405"/>
              <w:rPr>
                <w:rFonts w:ascii="標楷體" w:eastAsia="標楷體" w:hAnsi="標楷體"/>
                <w:sz w:val="27"/>
                <w:szCs w:val="27"/>
              </w:rPr>
            </w:pPr>
            <w:r w:rsidRPr="00E23067">
              <w:rPr>
                <w:rFonts w:ascii="標楷體" w:eastAsia="標楷體" w:hAnsi="標楷體" w:hint="eastAsia"/>
                <w:sz w:val="27"/>
                <w:szCs w:val="27"/>
              </w:rPr>
              <w:t xml:space="preserve">4. 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綜合來說，在新法施行後，相較於新法施行前離職者，對於離職公教人員原有公職年資退休給與更具保障。換句話說，在新法施行前、後離職，在退休金權益上確實有不同，但絶非如該讀者文章所指「在新法施行後離職，就會損失</w:t>
            </w:r>
            <w:r w:rsidR="00073421" w:rsidRPr="00E23067">
              <w:rPr>
                <w:rFonts w:ascii="標楷體" w:eastAsia="標楷體" w:hAnsi="標楷體"/>
                <w:sz w:val="27"/>
                <w:szCs w:val="27"/>
              </w:rPr>
              <w:t>65</w:t>
            </w:r>
            <w:r w:rsidR="00073421" w:rsidRPr="00E23067">
              <w:rPr>
                <w:rFonts w:ascii="標楷體" w:eastAsia="標楷體" w:hAnsi="標楷體" w:hint="eastAsia"/>
                <w:sz w:val="27"/>
                <w:szCs w:val="27"/>
              </w:rPr>
              <w:t>萬」。</w:t>
            </w:r>
          </w:p>
        </w:tc>
      </w:tr>
    </w:tbl>
    <w:p w:rsidR="008927CF" w:rsidRPr="00E23067" w:rsidRDefault="008927CF">
      <w:pPr>
        <w:rPr>
          <w:rFonts w:ascii="新細明體" w:eastAsia="新細明體" w:hAnsi="新細明體"/>
        </w:rPr>
      </w:pPr>
    </w:p>
    <w:sectPr w:rsidR="008927CF" w:rsidRPr="00E23067" w:rsidSect="00FB5E10">
      <w:headerReference w:type="default" r:id="rId8"/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21" w:rsidRDefault="00E35521" w:rsidP="00223F83">
      <w:r>
        <w:separator/>
      </w:r>
    </w:p>
  </w:endnote>
  <w:endnote w:type="continuationSeparator" w:id="0">
    <w:p w:rsidR="00E35521" w:rsidRDefault="00E35521" w:rsidP="002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5667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5E10" w:rsidRPr="00FB5E10" w:rsidRDefault="00FB5E10" w:rsidP="00FB5E10">
        <w:pPr>
          <w:pStyle w:val="a9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FB5E10">
          <w:rPr>
            <w:sz w:val="24"/>
            <w:szCs w:val="24"/>
          </w:rPr>
          <w:fldChar w:fldCharType="begin"/>
        </w:r>
        <w:r w:rsidRPr="00FB5E10">
          <w:rPr>
            <w:sz w:val="24"/>
            <w:szCs w:val="24"/>
          </w:rPr>
          <w:instrText>PAGE   \* MERGEFORMAT</w:instrText>
        </w:r>
        <w:r w:rsidRPr="00FB5E10">
          <w:rPr>
            <w:sz w:val="24"/>
            <w:szCs w:val="24"/>
          </w:rPr>
          <w:fldChar w:fldCharType="separate"/>
        </w:r>
        <w:r w:rsidR="00D278DA" w:rsidRPr="00D278DA">
          <w:rPr>
            <w:noProof/>
            <w:sz w:val="24"/>
            <w:szCs w:val="24"/>
            <w:lang w:val="zh-TW"/>
          </w:rPr>
          <w:t>1</w:t>
        </w:r>
        <w:r w:rsidRPr="00FB5E1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21" w:rsidRDefault="00E35521" w:rsidP="00223F83">
      <w:r>
        <w:separator/>
      </w:r>
    </w:p>
  </w:footnote>
  <w:footnote w:type="continuationSeparator" w:id="0">
    <w:p w:rsidR="00E35521" w:rsidRDefault="00E35521" w:rsidP="00223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E10" w:rsidRDefault="00FB5E10" w:rsidP="00FB5E10">
    <w:pPr>
      <w:pStyle w:val="a7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6ED"/>
    <w:multiLevelType w:val="hybridMultilevel"/>
    <w:tmpl w:val="14B25BA8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DD78E9"/>
    <w:multiLevelType w:val="hybridMultilevel"/>
    <w:tmpl w:val="C404448C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15D277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5711D2"/>
    <w:multiLevelType w:val="hybridMultilevel"/>
    <w:tmpl w:val="042C8470"/>
    <w:lvl w:ilvl="0" w:tplc="F10E5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FB480D"/>
    <w:multiLevelType w:val="hybridMultilevel"/>
    <w:tmpl w:val="659A2E60"/>
    <w:lvl w:ilvl="0" w:tplc="CDCA6D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B46FCA"/>
    <w:multiLevelType w:val="hybridMultilevel"/>
    <w:tmpl w:val="A360090E"/>
    <w:lvl w:ilvl="0" w:tplc="8A9CF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F05E58"/>
    <w:multiLevelType w:val="hybridMultilevel"/>
    <w:tmpl w:val="500E7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EF3F68"/>
    <w:multiLevelType w:val="hybridMultilevel"/>
    <w:tmpl w:val="F300D1C0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452DEB"/>
    <w:multiLevelType w:val="hybridMultilevel"/>
    <w:tmpl w:val="9F7E21E6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A4456B"/>
    <w:multiLevelType w:val="hybridMultilevel"/>
    <w:tmpl w:val="F300D1C0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F"/>
    <w:rsid w:val="00065D8B"/>
    <w:rsid w:val="00073421"/>
    <w:rsid w:val="000F5AE9"/>
    <w:rsid w:val="001D2525"/>
    <w:rsid w:val="0020112A"/>
    <w:rsid w:val="00223F83"/>
    <w:rsid w:val="00371636"/>
    <w:rsid w:val="008927CF"/>
    <w:rsid w:val="00A94E21"/>
    <w:rsid w:val="00BE284D"/>
    <w:rsid w:val="00C47DCF"/>
    <w:rsid w:val="00D278DA"/>
    <w:rsid w:val="00E23067"/>
    <w:rsid w:val="00E35521"/>
    <w:rsid w:val="00F62D9C"/>
    <w:rsid w:val="00F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27C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F5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F5A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3F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3F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27C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F5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F5A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3F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3F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蕭俊堂</cp:lastModifiedBy>
  <cp:revision>3</cp:revision>
  <cp:lastPrinted>2017-08-03T09:40:00Z</cp:lastPrinted>
  <dcterms:created xsi:type="dcterms:W3CDTF">2017-08-04T09:13:00Z</dcterms:created>
  <dcterms:modified xsi:type="dcterms:W3CDTF">2017-08-07T01:06:00Z</dcterms:modified>
</cp:coreProperties>
</file>