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D6" w:rsidRDefault="00C414BD">
      <w:pPr>
        <w:pStyle w:val="Standard"/>
        <w:jc w:val="center"/>
        <w:rPr>
          <w:rFonts w:ascii="標楷體" w:eastAsia="標楷體" w:hAnsi="標楷體" w:cs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</w:rPr>
        <w:t xml:space="preserve"> 科技部學術倫理案件處理及審議要點</w:t>
      </w:r>
    </w:p>
    <w:p w:rsidR="00BE46D6" w:rsidRDefault="00C414BD">
      <w:pPr>
        <w:pStyle w:val="Standard"/>
        <w:widowControl w:val="0"/>
        <w:spacing w:line="480" w:lineRule="atLeast"/>
        <w:jc w:val="right"/>
        <w:textAlignment w:val="auto"/>
        <w:rPr>
          <w:rFonts w:hint="eastAsia"/>
        </w:rPr>
      </w:pPr>
      <w:r>
        <w:rPr>
          <w:rFonts w:ascii="標楷體" w:eastAsia="標楷體" w:hAnsi="標楷體"/>
        </w:rPr>
        <w:t>106</w:t>
      </w:r>
      <w:r>
        <w:rPr>
          <w:rFonts w:ascii="標楷體" w:eastAsia="標楷體" w:hAnsi="標楷體" w:cs="標楷體"/>
        </w:rPr>
        <w:t>年1月6日修正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一、(訂定目的)</w:t>
      </w:r>
    </w:p>
    <w:p w:rsidR="00BE46D6" w:rsidRDefault="00C414BD">
      <w:pPr>
        <w:pStyle w:val="Standard"/>
        <w:widowControl w:val="0"/>
        <w:spacing w:line="360" w:lineRule="auto"/>
        <w:ind w:left="574" w:hanging="574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科技部(以下簡稱本部)為確立違反學術倫理案件客觀公正之處理程序，特訂定本要點。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二、(適用對象)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本要點適用於申請或取得本部學術獎勵、專題研究計畫或其他相關補助之研究人員。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三、(</w:t>
      </w:r>
      <w:r>
        <w:rPr>
          <w:rFonts w:ascii="標楷體" w:eastAsia="標楷體" w:hAnsi="標楷體" w:cs="標楷體"/>
          <w:kern w:val="0"/>
          <w:sz w:val="28"/>
          <w:szCs w:val="28"/>
        </w:rPr>
        <w:t>研究人員違反學術倫理之行為類型)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本要點所稱違反學術倫理，指研究人員有下列情形之一，致</w:t>
      </w:r>
      <w:r>
        <w:rPr>
          <w:rFonts w:ascii="標楷體" w:eastAsia="標楷體" w:hAnsi="標楷體" w:cs="標楷體"/>
          <w:sz w:val="28"/>
          <w:szCs w:val="28"/>
        </w:rPr>
        <w:t>有嚴重影響本部審查判斷或資源分配公正之虞</w:t>
      </w:r>
      <w:r>
        <w:rPr>
          <w:rFonts w:ascii="標楷體" w:eastAsia="標楷體" w:hAnsi="標楷體" w:cs="標楷體"/>
          <w:kern w:val="0"/>
          <w:sz w:val="28"/>
          <w:szCs w:val="28"/>
        </w:rPr>
        <w:t>者：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kern w:val="0"/>
          <w:sz w:val="28"/>
          <w:szCs w:val="28"/>
        </w:rPr>
        <w:t>造假：虛構不存在之申請資料、研究資料或研究成果。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(二)變造：不實變更申請資料、研究資料或研究成果。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(三)抄襲：援用他人之申請資料、研究資料或研究成果未註明出處。註明出處不當情節重大者，以抄襲論。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(四)隱匿其部分內容為已發表之成果或著作。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(五)未經註明而重複發表，致研究成果重複計算。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(六)研究計畫或論文大幅引用自己已發表之著作，未適當引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(七)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以違法或不當手段影響論文審查。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(八)其他違反學術倫理行為，經本部學術倫理審議會議決通過。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四、(學術倫理審議會之設置)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本部設學術倫理審議會，審議學術倫理案件。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五、(</w:t>
      </w:r>
      <w:r>
        <w:rPr>
          <w:rFonts w:ascii="標楷體" w:eastAsia="標楷體" w:hAnsi="標楷體" w:cs="標楷體"/>
          <w:kern w:val="0"/>
          <w:sz w:val="28"/>
          <w:szCs w:val="28"/>
        </w:rPr>
        <w:t>委員之選任)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學術倫理審議會置召集人一人，由本部部長指派次長一人兼任之；委員九人至十五人，除召集人為當然委員外，其餘委員由本部部長就本部相關司處主管、教育部代表、學者專家或律師派(聘)兼之。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學術倫理審議會委員為無給職。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六、(</w:t>
      </w:r>
      <w:r>
        <w:rPr>
          <w:rFonts w:ascii="標楷體" w:eastAsia="標楷體" w:hAnsi="標楷體" w:cs="標楷體"/>
          <w:kern w:val="0"/>
          <w:sz w:val="28"/>
          <w:szCs w:val="28"/>
        </w:rPr>
        <w:t>委員之任期)</w:t>
      </w:r>
    </w:p>
    <w:p w:rsidR="00BE46D6" w:rsidRDefault="00C414BD">
      <w:pPr>
        <w:pStyle w:val="Standard"/>
        <w:widowControl w:val="0"/>
        <w:spacing w:line="360" w:lineRule="auto"/>
        <w:ind w:left="560" w:right="46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學術倫理審議會委員任期二年，期滿得續派(聘)之。</w:t>
      </w:r>
    </w:p>
    <w:p w:rsidR="00BE46D6" w:rsidRDefault="00C414BD">
      <w:pPr>
        <w:pStyle w:val="Standard"/>
        <w:widowControl w:val="0"/>
        <w:spacing w:line="360" w:lineRule="auto"/>
        <w:ind w:left="646" w:right="46" w:hanging="560"/>
        <w:jc w:val="both"/>
        <w:textAlignment w:val="auto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 委員任期內出缺時，應依前點規定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補行派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(聘)之；其任期至原出缺委員任期屆滿之日為止。</w:t>
      </w:r>
    </w:p>
    <w:p w:rsidR="00BE46D6" w:rsidRDefault="00C414BD">
      <w:pPr>
        <w:pStyle w:val="Standard"/>
        <w:widowControl w:val="0"/>
        <w:spacing w:line="360" w:lineRule="auto"/>
        <w:ind w:right="46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七、(學術倫理審議會之開會及決議</w:t>
      </w:r>
      <w:r>
        <w:rPr>
          <w:rFonts w:ascii="標楷體" w:eastAsia="標楷體" w:hAnsi="標楷體" w:cs="標楷體"/>
          <w:kern w:val="0"/>
          <w:sz w:val="28"/>
          <w:szCs w:val="28"/>
        </w:rPr>
        <w:t>方式)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學術倫理審議會之決議，應有全體委員三分之二以上出席及出席委員三分之二以上同意行之。但決議依第十二點第二款作成終身停權之處分建議者，應有出席委員四分之三以上同意行之。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  學術倫理審議</w:t>
      </w:r>
      <w:r>
        <w:rPr>
          <w:rFonts w:ascii="標楷體" w:eastAsia="標楷體" w:hAnsi="標楷體" w:cs="標楷體"/>
          <w:sz w:val="28"/>
          <w:szCs w:val="28"/>
        </w:rPr>
        <w:t>會得邀請第九點第一款初審人員、學者專家或其他相關人員列席說明。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八、(違反學術倫理案件依職權發現及檢舉案件之處</w:t>
      </w:r>
      <w:r>
        <w:rPr>
          <w:rFonts w:ascii="標楷體" w:eastAsia="標楷體" w:hAnsi="標楷體" w:cs="標楷體"/>
          <w:kern w:val="0"/>
          <w:sz w:val="28"/>
          <w:szCs w:val="28"/>
        </w:rPr>
        <w:t>理)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違反學術倫理案件經本部依職權發現者，應主動處理之；其為檢舉者，應由檢舉人以真實姓名及地址，向本部提出附具事證之檢舉書。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前項檢舉案件以匿名方式檢舉者，非有具體對象及充分事證，不予處理。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檢舉案件經認定與本部業務無關者，應轉請相關權責機關處理。如當事人適有申請案件在本部進行審查者，本部得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併</w:t>
      </w:r>
      <w:proofErr w:type="gramEnd"/>
      <w:r>
        <w:rPr>
          <w:rFonts w:ascii="標楷體" w:eastAsia="標楷體" w:hAnsi="標楷體" w:cs="標楷體"/>
          <w:sz w:val="28"/>
          <w:szCs w:val="28"/>
        </w:rPr>
        <w:t>同檢舉案件為適當之處理。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九、(審查方式)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違反學術倫理案件，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sz w:val="28"/>
          <w:szCs w:val="28"/>
        </w:rPr>
        <w:t>初審及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sz w:val="28"/>
          <w:szCs w:val="28"/>
        </w:rPr>
        <w:t>審二階段審查：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)初審：</w:t>
      </w:r>
    </w:p>
    <w:p w:rsidR="00BE46D6" w:rsidRDefault="00C414BD">
      <w:pPr>
        <w:pStyle w:val="Standard"/>
        <w:widowControl w:val="0"/>
        <w:numPr>
          <w:ilvl w:val="0"/>
          <w:numId w:val="2"/>
        </w:numPr>
        <w:spacing w:line="360" w:lineRule="auto"/>
        <w:ind w:left="1928" w:hanging="454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由相關領域之學術司進行審查；必要時，得邀請學者專家參與審查。如認有涉及違反學術倫理之虞時，並應通知當事人於一定期限內提出書面答辯。</w:t>
      </w:r>
    </w:p>
    <w:p w:rsidR="00BE46D6" w:rsidRDefault="00C414BD">
      <w:pPr>
        <w:pStyle w:val="Standard"/>
        <w:widowControl w:val="0"/>
        <w:numPr>
          <w:ilvl w:val="0"/>
          <w:numId w:val="1"/>
        </w:numPr>
        <w:spacing w:line="360" w:lineRule="auto"/>
        <w:ind w:left="1928" w:hanging="454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初審結果認定涉嫌違反學術倫理而須提交學術倫理審議會者，</w:t>
      </w:r>
      <w:r>
        <w:rPr>
          <w:rFonts w:ascii="標楷體" w:eastAsia="標楷體" w:hAnsi="標楷體" w:cs="標楷體"/>
          <w:color w:val="000000"/>
          <w:sz w:val="28"/>
          <w:szCs w:val="28"/>
        </w:rPr>
        <w:t>審查結果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須詳列事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證、審查方式、違反學術倫理類型、具體處分建議等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。</w:t>
      </w:r>
    </w:p>
    <w:p w:rsidR="00BE46D6" w:rsidRDefault="00C414BD">
      <w:pPr>
        <w:pStyle w:val="Standard"/>
        <w:widowControl w:val="0"/>
        <w:numPr>
          <w:ilvl w:val="0"/>
          <w:numId w:val="1"/>
        </w:numPr>
        <w:spacing w:line="360" w:lineRule="auto"/>
        <w:ind w:left="1928" w:hanging="454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初審結果認定未涉及違反學術倫理者，無須提交</w:t>
      </w:r>
      <w:r>
        <w:rPr>
          <w:rFonts w:ascii="標楷體" w:eastAsia="標楷體" w:hAnsi="標楷體" w:cs="標楷體"/>
          <w:color w:val="000000"/>
          <w:sz w:val="28"/>
          <w:szCs w:val="28"/>
        </w:rPr>
        <w:t>學術倫理審議會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審，應視情形為適當之處理。</w:t>
      </w:r>
    </w:p>
    <w:p w:rsidR="00BE46D6" w:rsidRDefault="00C414BD">
      <w:pPr>
        <w:pStyle w:val="Standard"/>
        <w:widowControl w:val="0"/>
        <w:spacing w:line="360" w:lineRule="auto"/>
        <w:ind w:left="958" w:hanging="958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(二)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sz w:val="28"/>
          <w:szCs w:val="28"/>
        </w:rPr>
        <w:t>審：初審結果認定違反學術倫理者，提送學術倫理審議會審議。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十、(審查期限)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違反學術倫理案件之審查期限如下：</w:t>
      </w:r>
    </w:p>
    <w:p w:rsidR="00BE46D6" w:rsidRDefault="00C414BD">
      <w:pPr>
        <w:pStyle w:val="Standard"/>
        <w:widowControl w:val="0"/>
        <w:tabs>
          <w:tab w:val="left" w:pos="1080"/>
        </w:tabs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)初審：應於收件之次日起三個月內完成；必要時，得予延長。</w:t>
      </w:r>
    </w:p>
    <w:p w:rsidR="00BE46D6" w:rsidRDefault="00C414BD">
      <w:pPr>
        <w:pStyle w:val="Standard"/>
        <w:widowControl w:val="0"/>
        <w:spacing w:line="360" w:lineRule="auto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(二)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sz w:val="28"/>
          <w:szCs w:val="28"/>
        </w:rPr>
        <w:t>審：應於初審完成後二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個</w:t>
      </w:r>
      <w:proofErr w:type="gramEnd"/>
      <w:r>
        <w:rPr>
          <w:rFonts w:ascii="標楷體" w:eastAsia="標楷體" w:hAnsi="標楷體" w:cs="標楷體"/>
          <w:sz w:val="28"/>
          <w:szCs w:val="28"/>
        </w:rPr>
        <w:t>月內完成；必要時，得予延長。</w:t>
      </w:r>
    </w:p>
    <w:p w:rsidR="00BE46D6" w:rsidRDefault="00C414BD">
      <w:pPr>
        <w:pStyle w:val="Standard"/>
        <w:widowControl w:val="0"/>
        <w:spacing w:line="360" w:lineRule="auto"/>
        <w:ind w:left="-278" w:firstLine="12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十一、(檢舉案件不成立時之處置)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檢舉案件無確切證據足資認定當事人違反學術倫理時，應將調查結果以書面通知檢舉人，並得視情形分別通知當事人及其所屬學校或機關(構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:rsidR="00BE46D6" w:rsidRDefault="00C414BD">
      <w:pPr>
        <w:pStyle w:val="Standard"/>
        <w:widowControl w:val="0"/>
        <w:spacing w:line="360" w:lineRule="auto"/>
        <w:ind w:left="-1" w:hanging="28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十二、(</w:t>
      </w:r>
      <w:r>
        <w:rPr>
          <w:rFonts w:ascii="標楷體" w:eastAsia="標楷體" w:hAnsi="標楷體" w:cs="標楷體"/>
          <w:kern w:val="0"/>
          <w:sz w:val="28"/>
          <w:szCs w:val="28"/>
        </w:rPr>
        <w:t>處分方式)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學術倫理審議會就初審結果認定違反學術倫理之案件進行審議，如認定違反學術倫理行為證據確切時，得按其情節輕重對當事人作成下列各款之處分建議：</w:t>
      </w:r>
    </w:p>
    <w:p w:rsidR="00BE46D6" w:rsidRDefault="00C414BD">
      <w:pPr>
        <w:pStyle w:val="Standard"/>
        <w:widowControl w:val="0"/>
        <w:tabs>
          <w:tab w:val="left" w:pos="1380"/>
          <w:tab w:val="left" w:pos="1500"/>
        </w:tabs>
        <w:spacing w:line="360" w:lineRule="auto"/>
        <w:ind w:left="42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)書面告誡。</w:t>
      </w:r>
    </w:p>
    <w:p w:rsidR="00BE46D6" w:rsidRDefault="00C414BD">
      <w:pPr>
        <w:pStyle w:val="Standard"/>
        <w:widowControl w:val="0"/>
        <w:spacing w:line="360" w:lineRule="auto"/>
        <w:ind w:left="958" w:hanging="1498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(二)</w:t>
      </w:r>
      <w:r>
        <w:rPr>
          <w:rFonts w:ascii="標楷體" w:eastAsia="標楷體" w:hAnsi="標楷體" w:cs="標楷體"/>
          <w:spacing w:val="-4"/>
          <w:sz w:val="28"/>
          <w:szCs w:val="28"/>
        </w:rPr>
        <w:t>停止申請及執行補助計畫、申請及領取獎勵(費)一年至十年，或終身停權</w:t>
      </w:r>
      <w:r>
        <w:rPr>
          <w:rFonts w:ascii="標楷體" w:eastAsia="標楷體" w:hAnsi="標楷體" w:cs="標楷體"/>
          <w:color w:val="000000"/>
          <w:sz w:val="28"/>
          <w:szCs w:val="28"/>
        </w:rPr>
        <w:t>；並追回部分或全部補助費用、獎勵(費)。</w:t>
      </w:r>
    </w:p>
    <w:p w:rsidR="00BE46D6" w:rsidRDefault="00C414BD">
      <w:pPr>
        <w:pStyle w:val="Standard"/>
        <w:widowControl w:val="0"/>
        <w:spacing w:line="360" w:lineRule="auto"/>
        <w:ind w:left="420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(三)</w:t>
      </w:r>
      <w:r>
        <w:rPr>
          <w:rFonts w:ascii="標楷體" w:eastAsia="標楷體" w:hAnsi="標楷體" w:cs="標楷體"/>
          <w:color w:val="000000"/>
          <w:sz w:val="28"/>
          <w:szCs w:val="28"/>
        </w:rPr>
        <w:t>追回部分或全部補助費用、獎勵(費)。</w:t>
      </w:r>
    </w:p>
    <w:p w:rsidR="00BE46D6" w:rsidRDefault="00C414BD">
      <w:pPr>
        <w:pStyle w:val="Standard"/>
        <w:widowControl w:val="0"/>
        <w:spacing w:line="360" w:lineRule="auto"/>
        <w:ind w:hanging="266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十三、(資訊公開)</w:t>
      </w:r>
    </w:p>
    <w:p w:rsidR="00BE46D6" w:rsidRDefault="00C414BD">
      <w:pPr>
        <w:pStyle w:val="Standard"/>
        <w:widowControl w:val="0"/>
        <w:spacing w:line="360" w:lineRule="auto"/>
        <w:ind w:left="567" w:hanging="3"/>
        <w:jc w:val="both"/>
        <w:textAlignment w:val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學術倫理案件經學術倫理審議會審議作成處分建議者，經審議會視情節輕重決議後公開相關資訊。</w:t>
      </w:r>
    </w:p>
    <w:p w:rsidR="00BE46D6" w:rsidRDefault="00C414BD">
      <w:pPr>
        <w:pStyle w:val="Standard"/>
        <w:widowControl w:val="0"/>
        <w:spacing w:line="360" w:lineRule="auto"/>
        <w:ind w:hanging="266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十四、(處分之通知)</w:t>
      </w:r>
    </w:p>
    <w:p w:rsidR="00BE46D6" w:rsidRDefault="00C414BD">
      <w:pPr>
        <w:pStyle w:val="Standard"/>
        <w:widowControl w:val="0"/>
        <w:spacing w:line="360" w:lineRule="auto"/>
        <w:ind w:left="560" w:hanging="56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違反學術倫理案件之處分，應以書面通知檢舉人、受處分人及其所屬學校或機關（構），並要求該受處分人所屬學校或機關（構）提出說明及檢討改進，並就受處分人違反學術倫理行為之處理情形副知本部。</w:t>
      </w:r>
    </w:p>
    <w:p w:rsidR="00BE46D6" w:rsidRDefault="00C414BD">
      <w:pPr>
        <w:pStyle w:val="Standard"/>
        <w:widowControl w:val="0"/>
        <w:spacing w:line="360" w:lineRule="auto"/>
        <w:ind w:left="-177" w:hanging="101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十五、(</w:t>
      </w:r>
      <w:r>
        <w:rPr>
          <w:rFonts w:ascii="標楷體" w:eastAsia="標楷體" w:hAnsi="標楷體" w:cs="標楷體"/>
          <w:kern w:val="0"/>
          <w:sz w:val="28"/>
          <w:szCs w:val="28"/>
        </w:rPr>
        <w:t>保密責任)</w:t>
      </w:r>
    </w:p>
    <w:p w:rsidR="00BE46D6" w:rsidRDefault="00C414BD">
      <w:pPr>
        <w:pStyle w:val="Standard"/>
        <w:widowControl w:val="0"/>
        <w:spacing w:line="360" w:lineRule="auto"/>
        <w:ind w:left="599" w:hanging="599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依本要點受理檢舉、參與調查或審議程序之人員，就所接觸資訊有予以保密之必要者，應予保密。</w:t>
      </w:r>
    </w:p>
    <w:p w:rsidR="00BE46D6" w:rsidRDefault="00C414BD">
      <w:pPr>
        <w:pStyle w:val="Standard"/>
        <w:widowControl w:val="0"/>
        <w:spacing w:line="360" w:lineRule="auto"/>
        <w:ind w:left="599" w:hanging="599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本部進行審議程序時，就檢舉人之真實姓名、地址或其他足資辨識其身分之資料，應採取必要之保密措施。</w:t>
      </w:r>
    </w:p>
    <w:p w:rsidR="00BE46D6" w:rsidRDefault="00C414BD">
      <w:pPr>
        <w:pStyle w:val="Standard"/>
        <w:widowControl w:val="0"/>
        <w:spacing w:line="360" w:lineRule="auto"/>
        <w:ind w:left="599" w:hanging="599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kern w:val="0"/>
          <w:sz w:val="28"/>
          <w:szCs w:val="28"/>
        </w:rPr>
        <w:t>學術倫理案件如涉公共利益，本部得適切對外說明，不受第一項規定限制。</w:t>
      </w:r>
    </w:p>
    <w:p w:rsidR="00BE46D6" w:rsidRDefault="00C414BD">
      <w:pPr>
        <w:pStyle w:val="Standard"/>
        <w:widowControl w:val="0"/>
        <w:spacing w:line="360" w:lineRule="auto"/>
        <w:ind w:left="-2" w:hanging="238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十六、(</w:t>
      </w:r>
      <w:r>
        <w:rPr>
          <w:rFonts w:ascii="標楷體" w:eastAsia="標楷體" w:hAnsi="標楷體" w:cs="標楷體"/>
          <w:sz w:val="28"/>
          <w:szCs w:val="28"/>
        </w:rPr>
        <w:t>學術倫理審議會</w:t>
      </w:r>
      <w:r>
        <w:rPr>
          <w:rFonts w:ascii="標楷體" w:eastAsia="標楷體" w:hAnsi="標楷體" w:cs="標楷體"/>
          <w:spacing w:val="-4"/>
          <w:kern w:val="0"/>
          <w:sz w:val="28"/>
          <w:szCs w:val="28"/>
        </w:rPr>
        <w:t>委員及初審人員之迴避原則)</w:t>
      </w:r>
    </w:p>
    <w:p w:rsidR="00BE46D6" w:rsidRDefault="00C414BD">
      <w:pPr>
        <w:pStyle w:val="Standard"/>
        <w:widowControl w:val="0"/>
        <w:spacing w:line="360" w:lineRule="auto"/>
        <w:ind w:left="599" w:hanging="599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學術倫理審議會委員及初審人員與當事人間</w:t>
      </w:r>
      <w:r>
        <w:rPr>
          <w:rFonts w:ascii="標楷體" w:eastAsia="標楷體" w:hAnsi="標楷體" w:cs="標楷體"/>
          <w:kern w:val="0"/>
          <w:sz w:val="28"/>
          <w:szCs w:val="28"/>
        </w:rPr>
        <w:t>有下列情形之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者，應自行迴避。</w:t>
      </w:r>
      <w:r>
        <w:rPr>
          <w:rFonts w:ascii="標楷體" w:eastAsia="標楷體" w:hAnsi="標楷體" w:cs="標楷體"/>
          <w:sz w:val="28"/>
          <w:szCs w:val="28"/>
        </w:rPr>
        <w:t>但第二款至第五款有特殊情形者，不在此限：</w:t>
      </w:r>
    </w:p>
    <w:p w:rsidR="00BE46D6" w:rsidRDefault="00C414BD">
      <w:pPr>
        <w:pStyle w:val="Standard"/>
        <w:widowControl w:val="0"/>
        <w:tabs>
          <w:tab w:val="left" w:pos="1380"/>
        </w:tabs>
        <w:spacing w:line="360" w:lineRule="auto"/>
        <w:ind w:left="42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)行政程序法第三十二條所定情形之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:rsidR="00BE46D6" w:rsidRDefault="00C414BD">
      <w:pPr>
        <w:pStyle w:val="Standard"/>
        <w:widowControl w:val="0"/>
        <w:tabs>
          <w:tab w:val="left" w:pos="1380"/>
        </w:tabs>
        <w:spacing w:line="360" w:lineRule="auto"/>
        <w:ind w:left="42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(二)任職同一系、所、科或單位。</w:t>
      </w:r>
    </w:p>
    <w:p w:rsidR="00BE46D6" w:rsidRDefault="00C414BD">
      <w:pPr>
        <w:pStyle w:val="Standard"/>
        <w:widowControl w:val="0"/>
        <w:spacing w:line="360" w:lineRule="auto"/>
        <w:ind w:left="42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(三)近三年曾有指導博士、碩士論文之師生關係。</w:t>
      </w:r>
    </w:p>
    <w:p w:rsidR="00BE46D6" w:rsidRDefault="00C414BD">
      <w:pPr>
        <w:pStyle w:val="Standard"/>
        <w:widowControl w:val="0"/>
        <w:spacing w:line="360" w:lineRule="auto"/>
        <w:ind w:left="42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(四)近二年發表論文或研究成果之共同作者。</w:t>
      </w:r>
    </w:p>
    <w:p w:rsidR="00BE46D6" w:rsidRDefault="00C414BD">
      <w:pPr>
        <w:pStyle w:val="Standard"/>
        <w:widowControl w:val="0"/>
        <w:spacing w:line="360" w:lineRule="auto"/>
        <w:ind w:left="42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(五)審查案件時有共同執行研究計畫。</w:t>
      </w:r>
    </w:p>
    <w:p w:rsidR="00BE46D6" w:rsidRDefault="00C414BD">
      <w:pPr>
        <w:pStyle w:val="Standard"/>
        <w:widowControl w:val="0"/>
        <w:spacing w:line="360" w:lineRule="auto"/>
        <w:ind w:left="-240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十七、(受補助學校或機關（構）之配合義務及責任)</w:t>
      </w:r>
    </w:p>
    <w:p w:rsidR="00BE46D6" w:rsidRDefault="00C414BD">
      <w:pPr>
        <w:pStyle w:val="Standard"/>
        <w:widowControl w:val="0"/>
        <w:spacing w:line="360" w:lineRule="auto"/>
        <w:ind w:left="600" w:hanging="958"/>
        <w:jc w:val="both"/>
        <w:textAlignment w:val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本部於處理違反學術倫理案件時，除直接調查或處分外，得視需要請當事人所屬學校或機關（構）協助調查，並將調查結果送交本部。</w:t>
      </w:r>
    </w:p>
    <w:p w:rsidR="00BE46D6" w:rsidRDefault="00C414BD">
      <w:pPr>
        <w:pStyle w:val="Standard"/>
        <w:widowControl w:val="0"/>
        <w:spacing w:line="360" w:lineRule="auto"/>
        <w:ind w:left="600" w:hanging="958"/>
        <w:jc w:val="both"/>
        <w:textAlignment w:val="auto"/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/>
          <w:color w:val="000000"/>
          <w:sz w:val="28"/>
          <w:szCs w:val="28"/>
        </w:rPr>
        <w:t>當事人所屬學校或機關（構）對於違反學術倫理案件未積極配合調查、有重大管理疏失或其他不當之處理行為，經學術倫理審議會建議，得追回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或減撥本部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一定期間之補助專題研究計畫部分管理費。</w:t>
      </w:r>
    </w:p>
    <w:p w:rsidR="00BE46D6" w:rsidRDefault="00BE46D6">
      <w:pPr>
        <w:pStyle w:val="a5"/>
        <w:widowControl w:val="0"/>
        <w:tabs>
          <w:tab w:val="center" w:pos="4153"/>
          <w:tab w:val="right" w:pos="8306"/>
        </w:tabs>
        <w:textAlignment w:val="auto"/>
        <w:rPr>
          <w:rFonts w:ascii="標楷體" w:eastAsia="標楷體" w:hAnsi="標楷體"/>
        </w:rPr>
      </w:pPr>
    </w:p>
    <w:p w:rsidR="00BE46D6" w:rsidRDefault="00C414BD">
      <w:pPr>
        <w:pStyle w:val="a5"/>
        <w:widowControl w:val="0"/>
        <w:tabs>
          <w:tab w:val="center" w:pos="4153"/>
          <w:tab w:val="right" w:pos="8306"/>
        </w:tabs>
        <w:ind w:right="360" w:firstLine="360"/>
        <w:textAlignment w:val="auto"/>
        <w:rPr>
          <w:rFonts w:hint="eastAsia"/>
        </w:rPr>
      </w:pPr>
      <w:r>
        <w:rPr>
          <w:rFonts w:ascii="標楷體" w:eastAsia="標楷體" w:hAnsi="標楷體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136" cy="146047"/>
                <wp:effectExtent l="0" t="0" r="0" b="0"/>
                <wp:wrapTopAndBottom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6" cy="14604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E46D6" w:rsidRDefault="00C414BD">
                            <w:pPr>
                              <w:pStyle w:val="a5"/>
                              <w:widowControl w:val="0"/>
                              <w:tabs>
                                <w:tab w:val="center" w:pos="4153"/>
                                <w:tab w:val="right" w:pos="8306"/>
                              </w:tabs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7"/>
                                <w:rFonts w:ascii="Times New Roman" w:eastAsia="標楷體" w:hAnsi="Times New Roman"/>
                                <w:sz w:val="20"/>
                                <w:szCs w:val="20"/>
                                <w:lang w:val="zh-TW" w:bidi="ar-SA"/>
                              </w:rPr>
                              <w:fldChar w:fldCharType="begin"/>
                            </w:r>
                            <w:r>
                              <w:rPr>
                                <w:rStyle w:val="a7"/>
                                <w:rFonts w:ascii="Times New Roman" w:eastAsia="標楷體" w:hAnsi="Times New Roman"/>
                                <w:sz w:val="20"/>
                                <w:szCs w:val="20"/>
                                <w:lang w:val="zh-TW" w:bidi="ar-SA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a7"/>
                                <w:rFonts w:ascii="Times New Roman" w:eastAsia="標楷體" w:hAnsi="Times New Roman"/>
                                <w:sz w:val="20"/>
                                <w:szCs w:val="20"/>
                                <w:lang w:val="zh-TW" w:bidi="ar-SA"/>
                              </w:rPr>
                              <w:fldChar w:fldCharType="separate"/>
                            </w:r>
                            <w:r>
                              <w:rPr>
                                <w:rStyle w:val="a7"/>
                                <w:rFonts w:ascii="Times New Roman" w:eastAsia="標楷體" w:hAnsi="Times New Roman"/>
                                <w:sz w:val="20"/>
                                <w:szCs w:val="20"/>
                                <w:lang w:val="zh-TW" w:bidi="ar-SA"/>
                              </w:rPr>
                              <w:t>4</w:t>
                            </w:r>
                            <w:r>
                              <w:rPr>
                                <w:rStyle w:val="a7"/>
                                <w:rFonts w:ascii="Times New Roman" w:eastAsia="標楷體" w:hAnsi="Times New Roman"/>
                                <w:sz w:val="20"/>
                                <w:szCs w:val="20"/>
                                <w:lang w:val="zh-TW" w:bidi="ar-S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0;margin-top:0;width:5.05pt;height:11.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" stroked="f">
                <v:fill opacity="0"/>
                <v:textbox style="mso-fit-shape-to-text:t" inset="0,0,0,0">
                  <w:txbxContent>
                    <w:p w:rsidR="00BE46D6" w:rsidRDefault="00C414BD">
                      <w:pPr>
                        <w:pStyle w:val="a5"/>
                        <w:widowControl w:val="0"/>
                        <w:tabs>
                          <w:tab w:val="center" w:pos="4153"/>
                          <w:tab w:val="right" w:pos="8306"/>
                        </w:tabs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Style w:val="a7"/>
                          <w:rFonts w:ascii="Times New Roman" w:eastAsia="標楷體" w:hAnsi="Times New Roman"/>
                          <w:sz w:val="20"/>
                          <w:szCs w:val="20"/>
                          <w:lang w:val="zh-TW" w:bidi="ar-SA"/>
                        </w:rPr>
                        <w:fldChar w:fldCharType="begin"/>
                      </w:r>
                      <w:r>
                        <w:rPr>
                          <w:rStyle w:val="a7"/>
                          <w:rFonts w:ascii="Times New Roman" w:eastAsia="標楷體" w:hAnsi="Times New Roman"/>
                          <w:sz w:val="20"/>
                          <w:szCs w:val="20"/>
                          <w:lang w:val="zh-TW" w:bidi="ar-SA"/>
                        </w:rPr>
                        <w:instrText xml:space="preserve"> PAGE </w:instrText>
                      </w:r>
                      <w:r>
                        <w:rPr>
                          <w:rStyle w:val="a7"/>
                          <w:rFonts w:ascii="Times New Roman" w:eastAsia="標楷體" w:hAnsi="Times New Roman"/>
                          <w:sz w:val="20"/>
                          <w:szCs w:val="20"/>
                          <w:lang w:val="zh-TW" w:bidi="ar-SA"/>
                        </w:rPr>
                        <w:fldChar w:fldCharType="separate"/>
                      </w:r>
                      <w:r>
                        <w:rPr>
                          <w:rStyle w:val="a7"/>
                          <w:rFonts w:ascii="Times New Roman" w:eastAsia="標楷體" w:hAnsi="Times New Roman"/>
                          <w:sz w:val="20"/>
                          <w:szCs w:val="20"/>
                          <w:lang w:val="zh-TW" w:bidi="ar-SA"/>
                        </w:rPr>
                        <w:t>4</w:t>
                      </w:r>
                      <w:r>
                        <w:rPr>
                          <w:rStyle w:val="a7"/>
                          <w:rFonts w:ascii="Times New Roman" w:eastAsia="標楷體" w:hAnsi="Times New Roman"/>
                          <w:sz w:val="20"/>
                          <w:szCs w:val="20"/>
                          <w:lang w:val="zh-TW" w:bidi="ar-SA"/>
                        </w:rPr>
                        <w:fldChar w:fldCharType="end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BE46D6">
      <w:pgSz w:w="11906" w:h="16838"/>
      <w:pgMar w:top="1134" w:right="1134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02" w:rsidRDefault="00797F02">
      <w:pPr>
        <w:rPr>
          <w:rFonts w:hint="eastAsia"/>
        </w:rPr>
      </w:pPr>
      <w:r>
        <w:separator/>
      </w:r>
    </w:p>
  </w:endnote>
  <w:endnote w:type="continuationSeparator" w:id="0">
    <w:p w:rsidR="00797F02" w:rsidRDefault="00797F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02" w:rsidRDefault="00797F0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97F02" w:rsidRDefault="00797F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5F5F"/>
    <w:multiLevelType w:val="multilevel"/>
    <w:tmpl w:val="F566E370"/>
    <w:styleLink w:val="WWNum1"/>
    <w:lvl w:ilvl="0">
      <w:start w:val="1"/>
      <w:numFmt w:val="decimal"/>
      <w:lvlText w:val="%1."/>
      <w:lvlJc w:val="left"/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46D6"/>
    <w:rsid w:val="00595298"/>
    <w:rsid w:val="00797F02"/>
    <w:rsid w:val="00BE46D6"/>
    <w:rsid w:val="00C414BD"/>
    <w:rsid w:val="00F8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styleId="a5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a6">
    <w:name w:val="頁尾 字元"/>
    <w:basedOn w:val="a0"/>
    <w:rPr>
      <w:rFonts w:eastAsia="標楷體" w:cs="Times New Roman"/>
      <w:kern w:val="3"/>
    </w:rPr>
  </w:style>
  <w:style w:type="character" w:styleId="a7">
    <w:name w:val="page number"/>
    <w:basedOn w:val="a0"/>
    <w:rPr>
      <w:rFonts w:cs="Times New Roman"/>
    </w:rPr>
  </w:style>
  <w:style w:type="character" w:customStyle="1" w:styleId="ListLabel1">
    <w:name w:val="ListLabel 1"/>
    <w:rPr>
      <w:rFonts w:ascii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首 字元"/>
    <w:basedOn w:val="a0"/>
    <w:rPr>
      <w:sz w:val="20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paragraph" w:styleId="a5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a6">
    <w:name w:val="頁尾 字元"/>
    <w:basedOn w:val="a0"/>
    <w:rPr>
      <w:rFonts w:eastAsia="標楷體" w:cs="Times New Roman"/>
      <w:kern w:val="3"/>
    </w:rPr>
  </w:style>
  <w:style w:type="character" w:styleId="a7">
    <w:name w:val="page number"/>
    <w:basedOn w:val="a0"/>
    <w:rPr>
      <w:rFonts w:cs="Times New Roman"/>
    </w:rPr>
  </w:style>
  <w:style w:type="character" w:customStyle="1" w:styleId="ListLabel1">
    <w:name w:val="ListLabel 1"/>
    <w:rPr>
      <w:rFonts w:ascii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首 字元"/>
    <w:basedOn w:val="a0"/>
    <w:rPr>
      <w:sz w:val="20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魏淑美</dc:creator>
  <cp:lastModifiedBy>鄭明雅</cp:lastModifiedBy>
  <cp:revision>2</cp:revision>
  <dcterms:created xsi:type="dcterms:W3CDTF">2017-01-12T08:48:00Z</dcterms:created>
  <dcterms:modified xsi:type="dcterms:W3CDTF">2017-01-12T08:48:00Z</dcterms:modified>
</cp:coreProperties>
</file>