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6D1" w:rsidRPr="00F4290D" w:rsidRDefault="00A32FBE" w:rsidP="001E4A7A">
      <w:pPr>
        <w:adjustRightInd w:val="0"/>
        <w:snapToGrid w:val="0"/>
        <w:jc w:val="center"/>
        <w:rPr>
          <w:rFonts w:ascii="微軟正黑體" w:eastAsia="微軟正黑體" w:hAnsi="微軟正黑體"/>
          <w:b/>
          <w:sz w:val="40"/>
        </w:rPr>
      </w:pPr>
      <w:r>
        <w:rPr>
          <w:rFonts w:ascii="微軟正黑體" w:eastAsia="微軟正黑體" w:hAnsi="微軟正黑體" w:hint="eastAsia"/>
          <w:b/>
          <w:sz w:val="40"/>
        </w:rPr>
        <w:t>能源政策</w:t>
      </w:r>
      <w:r w:rsidR="001E4A7A" w:rsidRPr="00F4290D">
        <w:rPr>
          <w:rFonts w:ascii="微軟正黑體" w:eastAsia="微軟正黑體" w:hAnsi="微軟正黑體" w:hint="eastAsia"/>
          <w:b/>
          <w:sz w:val="40"/>
        </w:rPr>
        <w:t>風險研究學術研討會</w:t>
      </w:r>
    </w:p>
    <w:p w:rsidR="001E4A7A" w:rsidRDefault="001E4A7A" w:rsidP="001E4A7A">
      <w:pPr>
        <w:widowControl/>
        <w:adjustRightInd w:val="0"/>
        <w:snapToGrid w:val="0"/>
        <w:rPr>
          <w:rFonts w:ascii="微軟正黑體" w:eastAsia="微軟正黑體" w:hAnsi="微軟正黑體" w:cs="新細明體"/>
          <w:color w:val="363636"/>
          <w:kern w:val="0"/>
          <w:szCs w:val="23"/>
        </w:rPr>
      </w:pPr>
    </w:p>
    <w:p w:rsidR="001E4A7A" w:rsidRPr="00422737" w:rsidRDefault="001E4A7A" w:rsidP="00422737">
      <w:pPr>
        <w:widowControl/>
        <w:adjustRightInd w:val="0"/>
        <w:snapToGrid w:val="0"/>
        <w:spacing w:beforeLines="50" w:before="180" w:line="440" w:lineRule="atLeast"/>
        <w:ind w:firstLine="482"/>
        <w:rPr>
          <w:rFonts w:ascii="微軟正黑體" w:eastAsia="微軟正黑體" w:hAnsi="微軟正黑體" w:cs="新細明體"/>
          <w:color w:val="363636"/>
          <w:kern w:val="0"/>
          <w:sz w:val="28"/>
          <w:szCs w:val="23"/>
        </w:rPr>
      </w:pPr>
      <w:r w:rsidRPr="00422737">
        <w:rPr>
          <w:rFonts w:ascii="微軟正黑體" w:eastAsia="微軟正黑體" w:hAnsi="微軟正黑體" w:cs="新細明體" w:hint="eastAsia"/>
          <w:color w:val="363636"/>
          <w:kern w:val="0"/>
          <w:sz w:val="28"/>
          <w:szCs w:val="23"/>
        </w:rPr>
        <w:t>今（105）年5月20日後，國內核能政策自此定調為2025年達成非核家園，相關部會也迅速啟動能源轉型。然而轉型過程的陣痛也接踵而來，首先是缺限電的風險，使國人再度面對核電與限電的抉擇。</w:t>
      </w:r>
      <w:proofErr w:type="gramStart"/>
      <w:r w:rsidRPr="00422737">
        <w:rPr>
          <w:rFonts w:ascii="微軟正黑體" w:eastAsia="微軟正黑體" w:hAnsi="微軟正黑體" w:cs="新細明體" w:hint="eastAsia"/>
          <w:color w:val="363636"/>
          <w:kern w:val="0"/>
          <w:sz w:val="28"/>
          <w:szCs w:val="23"/>
        </w:rPr>
        <w:t>再者，</w:t>
      </w:r>
      <w:proofErr w:type="gramEnd"/>
      <w:r w:rsidRPr="00422737">
        <w:rPr>
          <w:rFonts w:ascii="微軟正黑體" w:eastAsia="微軟正黑體" w:hAnsi="微軟正黑體" w:cs="新細明體" w:hint="eastAsia"/>
          <w:color w:val="363636"/>
          <w:kern w:val="0"/>
          <w:sz w:val="28"/>
          <w:szCs w:val="23"/>
        </w:rPr>
        <w:t>與民生直接相關的電價總是牽動著社會與電力決策的敏感神經。雖然非核家園的目標明確，但實踐非核家園所伴隨的風險也正應孕而生。</w:t>
      </w:r>
    </w:p>
    <w:p w:rsidR="001E4A7A" w:rsidRPr="00422737" w:rsidRDefault="00A32FBE" w:rsidP="00422737">
      <w:pPr>
        <w:widowControl/>
        <w:adjustRightInd w:val="0"/>
        <w:snapToGrid w:val="0"/>
        <w:spacing w:beforeLines="50" w:before="180" w:line="440" w:lineRule="atLeast"/>
        <w:ind w:firstLine="482"/>
        <w:rPr>
          <w:rFonts w:ascii="微軟正黑體" w:eastAsia="微軟正黑體" w:hAnsi="微軟正黑體" w:cs="新細明體"/>
          <w:color w:val="363636"/>
          <w:kern w:val="0"/>
          <w:sz w:val="28"/>
          <w:szCs w:val="23"/>
        </w:rPr>
      </w:pPr>
      <w:r>
        <w:rPr>
          <w:rFonts w:ascii="微軟正黑體" w:eastAsia="微軟正黑體" w:hAnsi="微軟正黑體" w:cs="新細明體" w:hint="eastAsia"/>
          <w:color w:val="363636"/>
          <w:kern w:val="0"/>
          <w:sz w:val="28"/>
          <w:szCs w:val="23"/>
        </w:rPr>
        <w:t>核能研究所</w:t>
      </w:r>
      <w:r w:rsidR="001E4A7A" w:rsidRPr="00422737">
        <w:rPr>
          <w:rFonts w:ascii="微軟正黑體" w:eastAsia="微軟正黑體" w:hAnsi="微軟正黑體" w:cs="新細明體" w:hint="eastAsia"/>
          <w:color w:val="363636"/>
          <w:kern w:val="0"/>
          <w:sz w:val="28"/>
          <w:szCs w:val="23"/>
        </w:rPr>
        <w:t>能源經濟及策略研究中心將於10月6日辦理「</w:t>
      </w:r>
      <w:r w:rsidR="00187310" w:rsidRPr="00187310">
        <w:rPr>
          <w:rFonts w:ascii="微軟正黑體" w:eastAsia="微軟正黑體" w:hAnsi="微軟正黑體" w:cs="新細明體" w:hint="eastAsia"/>
          <w:color w:val="363636"/>
          <w:kern w:val="0"/>
          <w:sz w:val="28"/>
          <w:szCs w:val="23"/>
        </w:rPr>
        <w:t>能源政策風險研究學術研討會</w:t>
      </w:r>
      <w:r w:rsidR="001E4A7A" w:rsidRPr="00422737">
        <w:rPr>
          <w:rFonts w:ascii="微軟正黑體" w:eastAsia="微軟正黑體" w:hAnsi="微軟正黑體" w:cs="新細明體" w:hint="eastAsia"/>
          <w:color w:val="363636"/>
          <w:kern w:val="0"/>
          <w:sz w:val="28"/>
          <w:szCs w:val="23"/>
        </w:rPr>
        <w:t>」，與各界先進</w:t>
      </w:r>
      <w:r>
        <w:rPr>
          <w:rFonts w:ascii="微軟正黑體" w:eastAsia="微軟正黑體" w:hAnsi="微軟正黑體" w:cs="新細明體" w:hint="eastAsia"/>
          <w:color w:val="363636"/>
          <w:kern w:val="0"/>
          <w:sz w:val="28"/>
          <w:szCs w:val="23"/>
        </w:rPr>
        <w:t>分享近年來能經策略中心在能源風險研究領域的初步成果，中經院王京明</w:t>
      </w:r>
      <w:r w:rsidR="001E4A7A" w:rsidRPr="00422737">
        <w:rPr>
          <w:rFonts w:ascii="微軟正黑體" w:eastAsia="微軟正黑體" w:hAnsi="微軟正黑體" w:cs="新細明體" w:hint="eastAsia"/>
          <w:color w:val="363636"/>
          <w:kern w:val="0"/>
          <w:sz w:val="28"/>
          <w:szCs w:val="23"/>
        </w:rPr>
        <w:t>老師將從財務風險的觀點，探究電力最適組合規劃。資策會MIC姜漢儀資深產業分析師從需求端的觀點，藉著網路問卷調查蒐集消費者的能源認知與願付價格</w:t>
      </w:r>
      <w:r>
        <w:rPr>
          <w:rFonts w:ascii="微軟正黑體" w:eastAsia="微軟正黑體" w:hAnsi="微軟正黑體" w:cs="新細明體" w:hint="eastAsia"/>
          <w:color w:val="363636"/>
          <w:kern w:val="0"/>
          <w:sz w:val="28"/>
          <w:szCs w:val="23"/>
        </w:rPr>
        <w:t>，探索民眾的電力認知態度</w:t>
      </w:r>
      <w:r w:rsidR="001E4A7A" w:rsidRPr="00422737">
        <w:rPr>
          <w:rFonts w:ascii="微軟正黑體" w:eastAsia="微軟正黑體" w:hAnsi="微軟正黑體" w:cs="新細明體" w:hint="eastAsia"/>
          <w:color w:val="363636"/>
          <w:kern w:val="0"/>
          <w:sz w:val="28"/>
          <w:szCs w:val="23"/>
        </w:rPr>
        <w:t>。此次研討會特別邀請台電公司電源開發處鄭慶鴻組長，分享</w:t>
      </w:r>
      <w:r w:rsidR="00533CD5" w:rsidRPr="00533CD5">
        <w:rPr>
          <w:rFonts w:ascii="微軟正黑體" w:eastAsia="微軟正黑體" w:hAnsi="微軟正黑體" w:cs="新細明體" w:hint="eastAsia"/>
          <w:color w:val="363636"/>
          <w:kern w:val="0"/>
          <w:sz w:val="28"/>
          <w:szCs w:val="23"/>
        </w:rPr>
        <w:t>政府能源政策及台電電源開發規劃</w:t>
      </w:r>
      <w:r w:rsidR="001E4A7A" w:rsidRPr="00422737">
        <w:rPr>
          <w:rFonts w:ascii="微軟正黑體" w:eastAsia="微軟正黑體" w:hAnsi="微軟正黑體" w:cs="新細明體" w:hint="eastAsia"/>
          <w:color w:val="363636"/>
          <w:kern w:val="0"/>
          <w:sz w:val="28"/>
          <w:szCs w:val="23"/>
        </w:rPr>
        <w:t>。敬邀各界先進蒞臨指導，集思台灣電力大未來。</w:t>
      </w:r>
    </w:p>
    <w:p w:rsidR="00EF43D4" w:rsidRPr="001E4A7A" w:rsidRDefault="00EF43D4" w:rsidP="001E4A7A">
      <w:pPr>
        <w:widowControl/>
        <w:adjustRightInd w:val="0"/>
        <w:snapToGrid w:val="0"/>
        <w:ind w:firstLine="480"/>
        <w:rPr>
          <w:rFonts w:ascii="微軟正黑體" w:eastAsia="微軟正黑體" w:hAnsi="微軟正黑體" w:cs="新細明體"/>
          <w:color w:val="363636"/>
          <w:kern w:val="0"/>
          <w:szCs w:val="23"/>
        </w:rPr>
      </w:pPr>
    </w:p>
    <w:p w:rsidR="00F51FC5" w:rsidRPr="00422737" w:rsidRDefault="001E4A7A" w:rsidP="001E4A7A">
      <w:pPr>
        <w:widowControl/>
        <w:adjustRightInd w:val="0"/>
        <w:snapToGrid w:val="0"/>
        <w:rPr>
          <w:rFonts w:ascii="微軟正黑體" w:eastAsia="微軟正黑體" w:hAnsi="微軟正黑體" w:cs="新細明體"/>
          <w:b/>
          <w:color w:val="363636"/>
          <w:kern w:val="0"/>
          <w:sz w:val="28"/>
          <w:szCs w:val="23"/>
        </w:rPr>
      </w:pPr>
      <w:r w:rsidRPr="00422737">
        <w:rPr>
          <w:rFonts w:ascii="微軟正黑體" w:eastAsia="微軟正黑體" w:hAnsi="微軟正黑體" w:cs="新細明體" w:hint="eastAsia"/>
          <w:b/>
          <w:color w:val="363636"/>
          <w:kern w:val="0"/>
          <w:sz w:val="28"/>
          <w:szCs w:val="23"/>
        </w:rPr>
        <w:t>日期：105年10月6日</w:t>
      </w:r>
      <w:r w:rsidR="00F51FC5" w:rsidRPr="00422737">
        <w:rPr>
          <w:rFonts w:ascii="微軟正黑體" w:eastAsia="微軟正黑體" w:hAnsi="微軟正黑體" w:cs="新細明體" w:hint="eastAsia"/>
          <w:b/>
          <w:color w:val="363636"/>
          <w:kern w:val="0"/>
          <w:sz w:val="28"/>
          <w:szCs w:val="23"/>
        </w:rPr>
        <w:t xml:space="preserve">（四） </w:t>
      </w:r>
    </w:p>
    <w:p w:rsidR="001E4A7A" w:rsidRPr="00422737" w:rsidRDefault="001E4A7A" w:rsidP="001E4A7A">
      <w:pPr>
        <w:widowControl/>
        <w:adjustRightInd w:val="0"/>
        <w:snapToGrid w:val="0"/>
        <w:rPr>
          <w:rFonts w:ascii="微軟正黑體" w:eastAsia="微軟正黑體" w:hAnsi="微軟正黑體" w:cs="新細明體"/>
          <w:b/>
          <w:color w:val="363636"/>
          <w:kern w:val="0"/>
          <w:sz w:val="28"/>
          <w:szCs w:val="23"/>
        </w:rPr>
      </w:pPr>
      <w:r w:rsidRPr="00422737">
        <w:rPr>
          <w:rFonts w:ascii="微軟正黑體" w:eastAsia="微軟正黑體" w:hAnsi="微軟正黑體" w:cs="新細明體" w:hint="eastAsia"/>
          <w:b/>
          <w:color w:val="363636"/>
          <w:kern w:val="0"/>
          <w:sz w:val="28"/>
          <w:szCs w:val="23"/>
        </w:rPr>
        <w:t>地點：</w:t>
      </w:r>
      <w:r w:rsidRPr="00422737">
        <w:rPr>
          <w:rFonts w:ascii="微軟正黑體" w:eastAsia="微軟正黑體" w:hAnsi="微軟正黑體" w:hint="eastAsia"/>
          <w:b/>
          <w:sz w:val="28"/>
        </w:rPr>
        <w:t>資策會</w:t>
      </w:r>
      <w:r w:rsidRPr="00422737">
        <w:rPr>
          <w:rFonts w:ascii="微軟正黑體" w:eastAsia="微軟正黑體" w:hAnsi="微軟正黑體"/>
          <w:b/>
          <w:sz w:val="28"/>
        </w:rPr>
        <w:t>MIC 9F</w:t>
      </w:r>
      <w:r w:rsidRPr="00422737">
        <w:rPr>
          <w:rFonts w:ascii="微軟正黑體" w:eastAsia="微軟正黑體" w:hAnsi="微軟正黑體" w:hint="eastAsia"/>
          <w:b/>
          <w:sz w:val="28"/>
        </w:rPr>
        <w:t>（大安區敦化南路二段</w:t>
      </w:r>
      <w:r w:rsidRPr="00422737">
        <w:rPr>
          <w:rFonts w:ascii="微軟正黑體" w:eastAsia="微軟正黑體" w:hAnsi="微軟正黑體"/>
          <w:b/>
          <w:sz w:val="28"/>
        </w:rPr>
        <w:t>216</w:t>
      </w:r>
      <w:r w:rsidRPr="00422737">
        <w:rPr>
          <w:rFonts w:ascii="微軟正黑體" w:eastAsia="微軟正黑體" w:hAnsi="微軟正黑體" w:hint="eastAsia"/>
          <w:b/>
          <w:sz w:val="28"/>
        </w:rPr>
        <w:t>號）</w:t>
      </w:r>
    </w:p>
    <w:p w:rsidR="00EF43D4" w:rsidRPr="00422737" w:rsidRDefault="00EF43D4" w:rsidP="00EF43D4">
      <w:pPr>
        <w:widowControl/>
        <w:adjustRightInd w:val="0"/>
        <w:snapToGrid w:val="0"/>
        <w:rPr>
          <w:rFonts w:ascii="微軟正黑體" w:eastAsia="微軟正黑體" w:hAnsi="微軟正黑體" w:cs="新細明體"/>
          <w:b/>
          <w:color w:val="363636"/>
          <w:kern w:val="0"/>
          <w:sz w:val="28"/>
          <w:szCs w:val="23"/>
        </w:rPr>
      </w:pPr>
      <w:r w:rsidRPr="00422737">
        <w:rPr>
          <w:rFonts w:ascii="微軟正黑體" w:eastAsia="微軟正黑體" w:hAnsi="微軟正黑體" w:cs="新細明體" w:hint="eastAsia"/>
          <w:b/>
          <w:color w:val="363636"/>
          <w:kern w:val="0"/>
          <w:sz w:val="28"/>
          <w:szCs w:val="23"/>
        </w:rPr>
        <w:t>報名網址：</w:t>
      </w:r>
      <w:hyperlink r:id="rId8" w:history="1">
        <w:r w:rsidRPr="00422737">
          <w:rPr>
            <w:rStyle w:val="a9"/>
            <w:rFonts w:ascii="微軟正黑體" w:eastAsia="微軟正黑體" w:hAnsi="微軟正黑體" w:cs="新細明體"/>
            <w:b/>
            <w:kern w:val="0"/>
            <w:sz w:val="28"/>
            <w:szCs w:val="23"/>
          </w:rPr>
          <w:t>https://goo.gl/forms/lqbKy4LB96V59jyD3</w:t>
        </w:r>
      </w:hyperlink>
      <w:bookmarkStart w:id="0" w:name="_GoBack"/>
      <w:bookmarkEnd w:id="0"/>
    </w:p>
    <w:p w:rsidR="001E4A7A" w:rsidRPr="00422737" w:rsidRDefault="00EF43D4" w:rsidP="00A32FBE">
      <w:pPr>
        <w:widowControl/>
        <w:adjustRightInd w:val="0"/>
        <w:snapToGrid w:val="0"/>
        <w:rPr>
          <w:rFonts w:ascii="微軟正黑體" w:eastAsia="微軟正黑體" w:hAnsi="微軟正黑體" w:cs="新細明體"/>
          <w:b/>
          <w:color w:val="363636"/>
          <w:kern w:val="0"/>
          <w:sz w:val="28"/>
          <w:szCs w:val="23"/>
        </w:rPr>
      </w:pPr>
      <w:r w:rsidRPr="00422737">
        <w:rPr>
          <w:rFonts w:ascii="微軟正黑體" w:eastAsia="微軟正黑體" w:hAnsi="微軟正黑體" w:cs="新細明體" w:hint="eastAsia"/>
          <w:b/>
          <w:color w:val="363636"/>
          <w:kern w:val="0"/>
          <w:sz w:val="28"/>
          <w:szCs w:val="23"/>
        </w:rPr>
        <w:t>主辦單位：</w:t>
      </w:r>
      <w:r w:rsidRPr="00422737">
        <w:rPr>
          <w:rFonts w:ascii="微軟正黑體" w:eastAsia="微軟正黑體" w:hAnsi="微軟正黑體" w:hint="eastAsia"/>
          <w:noProof/>
          <w:color w:val="000000"/>
          <w:sz w:val="28"/>
        </w:rPr>
        <w:t xml:space="preserve"> </w:t>
      </w:r>
      <w:r w:rsidR="00A32FBE">
        <w:rPr>
          <w:rFonts w:ascii="微軟正黑體" w:eastAsia="微軟正黑體" w:hAnsi="微軟正黑體" w:hint="eastAsia"/>
          <w:noProof/>
          <w:color w:val="000000"/>
          <w:sz w:val="28"/>
        </w:rPr>
        <w:t>核能研究所能源經濟及策略研究中心</w:t>
      </w:r>
      <w:r w:rsidRPr="00422737">
        <w:rPr>
          <w:rFonts w:ascii="微軟正黑體" w:eastAsia="微軟正黑體" w:hAnsi="微軟正黑體" w:hint="eastAsia"/>
          <w:noProof/>
          <w:color w:val="000000"/>
          <w:sz w:val="28"/>
        </w:rPr>
        <w:drawing>
          <wp:inline distT="0" distB="0" distL="0" distR="0" wp14:anchorId="1A0E0E9C" wp14:editId="28532C8C">
            <wp:extent cx="3935604" cy="714894"/>
            <wp:effectExtent l="0" t="0" r="0" b="9525"/>
            <wp:docPr id="2" name="圖片 2" descr="C:\Users\i7596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7596\Desktop\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170" cy="719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FBE" w:rsidRDefault="00EF43D4" w:rsidP="00422737">
      <w:pPr>
        <w:widowControl/>
        <w:adjustRightInd w:val="0"/>
        <w:snapToGrid w:val="0"/>
        <w:ind w:left="1322" w:hangingChars="472" w:hanging="1322"/>
        <w:rPr>
          <w:rFonts w:ascii="微軟正黑體" w:eastAsia="微軟正黑體" w:hAnsi="微軟正黑體" w:cs="新細明體"/>
          <w:b/>
          <w:color w:val="363636"/>
          <w:kern w:val="0"/>
          <w:sz w:val="28"/>
          <w:szCs w:val="23"/>
        </w:rPr>
      </w:pPr>
      <w:r w:rsidRPr="00422737">
        <w:rPr>
          <w:rFonts w:ascii="微軟正黑體" w:eastAsia="微軟正黑體" w:hAnsi="微軟正黑體" w:cs="新細明體" w:hint="eastAsia"/>
          <w:b/>
          <w:color w:val="363636"/>
          <w:kern w:val="0"/>
          <w:sz w:val="28"/>
          <w:szCs w:val="23"/>
        </w:rPr>
        <w:t>協辦單位：財團法人資訊工業策進會產業情報研究所（MIC）、財團法人中華經濟研究院</w:t>
      </w:r>
    </w:p>
    <w:p w:rsidR="00A32FBE" w:rsidRDefault="00A32FBE" w:rsidP="00422737">
      <w:pPr>
        <w:widowControl/>
        <w:adjustRightInd w:val="0"/>
        <w:snapToGrid w:val="0"/>
        <w:ind w:left="1322" w:hangingChars="472" w:hanging="1322"/>
        <w:rPr>
          <w:rFonts w:ascii="微軟正黑體" w:eastAsia="微軟正黑體" w:hAnsi="微軟正黑體" w:cs="新細明體"/>
          <w:b/>
          <w:color w:val="363636"/>
          <w:kern w:val="0"/>
          <w:sz w:val="28"/>
          <w:szCs w:val="23"/>
        </w:rPr>
      </w:pPr>
    </w:p>
    <w:p w:rsidR="00A32FBE" w:rsidRDefault="00A32FBE" w:rsidP="00422737">
      <w:pPr>
        <w:widowControl/>
        <w:adjustRightInd w:val="0"/>
        <w:snapToGrid w:val="0"/>
        <w:ind w:left="1322" w:hangingChars="472" w:hanging="1322"/>
        <w:rPr>
          <w:rFonts w:ascii="微軟正黑體" w:eastAsia="微軟正黑體" w:hAnsi="微軟正黑體" w:cs="新細明體"/>
          <w:b/>
          <w:color w:val="363636"/>
          <w:kern w:val="0"/>
          <w:sz w:val="28"/>
          <w:szCs w:val="23"/>
        </w:rPr>
      </w:pPr>
    </w:p>
    <w:tbl>
      <w:tblPr>
        <w:tblStyle w:val="-1"/>
        <w:tblW w:w="5000" w:type="pct"/>
        <w:tblLook w:val="04A0" w:firstRow="1" w:lastRow="0" w:firstColumn="1" w:lastColumn="0" w:noHBand="0" w:noVBand="1"/>
      </w:tblPr>
      <w:tblGrid>
        <w:gridCol w:w="1808"/>
        <w:gridCol w:w="2695"/>
        <w:gridCol w:w="4019"/>
      </w:tblGrid>
      <w:tr w:rsidR="00EF43D4" w:rsidRPr="00EF43D4" w:rsidTr="00EF43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hideMark/>
          </w:tcPr>
          <w:p w:rsidR="000476D1" w:rsidRPr="00EF43D4" w:rsidRDefault="00A32FBE" w:rsidP="00A32FBE">
            <w:pPr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b w:val="0"/>
                <w:color w:val="auto"/>
                <w:szCs w:val="24"/>
              </w:rPr>
            </w:pPr>
            <w:r>
              <w:rPr>
                <w:rFonts w:ascii="微軟正黑體" w:eastAsia="微軟正黑體" w:hAnsi="微軟正黑體" w:cs="新細明體"/>
                <w:b w:val="0"/>
                <w:color w:val="363636"/>
                <w:kern w:val="0"/>
                <w:sz w:val="28"/>
                <w:szCs w:val="23"/>
              </w:rPr>
              <w:lastRenderedPageBreak/>
              <w:br w:type="page"/>
            </w:r>
            <w:r w:rsidRPr="00A32FBE">
              <w:rPr>
                <w:rFonts w:ascii="微軟正黑體" w:eastAsia="微軟正黑體" w:hAnsi="微軟正黑體" w:cs="新細明體" w:hint="eastAsia"/>
                <w:b w:val="0"/>
                <w:color w:val="auto"/>
                <w:sz w:val="28"/>
                <w:szCs w:val="24"/>
              </w:rPr>
              <w:t>議程</w:t>
            </w:r>
          </w:p>
        </w:tc>
      </w:tr>
      <w:tr w:rsidR="00EF43D4" w:rsidRPr="00EF43D4" w:rsidTr="005F2E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pct"/>
            <w:tcBorders>
              <w:bottom w:val="single" w:sz="4" w:space="0" w:color="4F81BD" w:themeColor="accent1"/>
            </w:tcBorders>
            <w:hideMark/>
          </w:tcPr>
          <w:p w:rsidR="000476D1" w:rsidRPr="00EF43D4" w:rsidRDefault="000476D1" w:rsidP="001E4A7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auto"/>
                <w:szCs w:val="24"/>
              </w:rPr>
            </w:pPr>
            <w:r w:rsidRPr="00EF43D4">
              <w:rPr>
                <w:rFonts w:ascii="微軟正黑體" w:eastAsia="微軟正黑體" w:hAnsi="微軟正黑體"/>
                <w:color w:val="auto"/>
              </w:rPr>
              <w:t>13:00~13:30</w:t>
            </w:r>
          </w:p>
        </w:tc>
        <w:tc>
          <w:tcPr>
            <w:tcW w:w="3939" w:type="pct"/>
            <w:gridSpan w:val="2"/>
            <w:tcBorders>
              <w:bottom w:val="single" w:sz="4" w:space="0" w:color="4F81BD" w:themeColor="accent1"/>
            </w:tcBorders>
            <w:hideMark/>
          </w:tcPr>
          <w:p w:rsidR="000476D1" w:rsidRPr="00EF43D4" w:rsidRDefault="000476D1" w:rsidP="00EF43D4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auto"/>
                <w:szCs w:val="24"/>
              </w:rPr>
            </w:pPr>
            <w:r w:rsidRPr="00EF43D4">
              <w:rPr>
                <w:rFonts w:ascii="微軟正黑體" w:eastAsia="微軟正黑體" w:hAnsi="微軟正黑體" w:hint="eastAsia"/>
                <w:color w:val="auto"/>
              </w:rPr>
              <w:t>報到</w:t>
            </w:r>
          </w:p>
        </w:tc>
      </w:tr>
      <w:tr w:rsidR="00EF43D4" w:rsidRPr="00EF43D4" w:rsidTr="00A32FBE">
        <w:trPr>
          <w:trHeight w:val="2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pct"/>
            <w:tcBorders>
              <w:top w:val="single" w:sz="4" w:space="0" w:color="4F81BD" w:themeColor="accent1"/>
              <w:bottom w:val="single" w:sz="4" w:space="0" w:color="4F81BD" w:themeColor="accent1"/>
            </w:tcBorders>
            <w:hideMark/>
          </w:tcPr>
          <w:p w:rsidR="000476D1" w:rsidRPr="00EF43D4" w:rsidRDefault="000476D1" w:rsidP="001E4A7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auto"/>
                <w:szCs w:val="24"/>
              </w:rPr>
            </w:pPr>
            <w:r w:rsidRPr="00EF43D4">
              <w:rPr>
                <w:rFonts w:ascii="微軟正黑體" w:eastAsia="微軟正黑體" w:hAnsi="微軟正黑體"/>
                <w:color w:val="auto"/>
              </w:rPr>
              <w:t>13:30~13:40</w:t>
            </w:r>
          </w:p>
        </w:tc>
        <w:tc>
          <w:tcPr>
            <w:tcW w:w="1581" w:type="pct"/>
            <w:tcBorders>
              <w:top w:val="single" w:sz="4" w:space="0" w:color="4F81BD" w:themeColor="accent1"/>
              <w:bottom w:val="single" w:sz="4" w:space="0" w:color="4F81BD" w:themeColor="accent1"/>
            </w:tcBorders>
            <w:hideMark/>
          </w:tcPr>
          <w:p w:rsidR="000476D1" w:rsidRPr="00EF43D4" w:rsidRDefault="00F04289" w:rsidP="001E4A7A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auto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auto"/>
              </w:rPr>
              <w:t>開幕致詞</w:t>
            </w:r>
          </w:p>
        </w:tc>
        <w:tc>
          <w:tcPr>
            <w:tcW w:w="2358" w:type="pct"/>
            <w:tcBorders>
              <w:top w:val="single" w:sz="4" w:space="0" w:color="4F81BD" w:themeColor="accent1"/>
              <w:bottom w:val="single" w:sz="4" w:space="0" w:color="4F81BD" w:themeColor="accent1"/>
            </w:tcBorders>
            <w:hideMark/>
          </w:tcPr>
          <w:p w:rsidR="00EF43D4" w:rsidRPr="00EF43D4" w:rsidRDefault="000476D1" w:rsidP="00EF43D4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auto"/>
              </w:rPr>
            </w:pPr>
            <w:r w:rsidRPr="00EF43D4">
              <w:rPr>
                <w:rFonts w:ascii="微軟正黑體" w:eastAsia="微軟正黑體" w:hAnsi="微軟正黑體" w:hint="eastAsia"/>
                <w:b/>
                <w:color w:val="auto"/>
              </w:rPr>
              <w:t>林金福</w:t>
            </w:r>
            <w:r w:rsidRPr="00EF43D4">
              <w:rPr>
                <w:rFonts w:ascii="微軟正黑體" w:eastAsia="微軟正黑體" w:hAnsi="微軟正黑體"/>
                <w:color w:val="auto"/>
              </w:rPr>
              <w:t xml:space="preserve"> </w:t>
            </w:r>
          </w:p>
          <w:p w:rsidR="00EF43D4" w:rsidRPr="00EF43D4" w:rsidRDefault="000476D1" w:rsidP="00EF43D4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auto"/>
                <w:szCs w:val="24"/>
              </w:rPr>
            </w:pPr>
            <w:r w:rsidRPr="00EF43D4">
              <w:rPr>
                <w:rFonts w:ascii="微軟正黑體" w:eastAsia="微軟正黑體" w:hAnsi="微軟正黑體" w:hint="eastAsia"/>
                <w:color w:val="auto"/>
              </w:rPr>
              <w:t>副所長</w:t>
            </w:r>
            <w:r w:rsidR="00EF43D4" w:rsidRPr="00EF43D4">
              <w:rPr>
                <w:rFonts w:ascii="微軟正黑體" w:eastAsia="微軟正黑體" w:hAnsi="微軟正黑體" w:hint="eastAsia"/>
                <w:color w:val="auto"/>
              </w:rPr>
              <w:t>／核能研究所</w:t>
            </w:r>
          </w:p>
          <w:p w:rsidR="000476D1" w:rsidRPr="00EF43D4" w:rsidRDefault="00EF43D4" w:rsidP="001E4A7A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auto"/>
              </w:rPr>
            </w:pPr>
            <w:r w:rsidRPr="00EF43D4">
              <w:rPr>
                <w:rFonts w:ascii="微軟正黑體" w:eastAsia="微軟正黑體" w:hAnsi="微軟正黑體" w:hint="eastAsia"/>
                <w:color w:val="auto"/>
              </w:rPr>
              <w:t>主任／能經策略中心</w:t>
            </w:r>
          </w:p>
          <w:p w:rsidR="00EF43D4" w:rsidRPr="00EF43D4" w:rsidRDefault="00307571" w:rsidP="00EF43D4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auto"/>
              </w:rPr>
            </w:pPr>
            <w:r w:rsidRPr="00EF43D4">
              <w:rPr>
                <w:rFonts w:ascii="微軟正黑體" w:eastAsia="微軟正黑體" w:hAnsi="微軟正黑體" w:hint="eastAsia"/>
                <w:b/>
                <w:color w:val="auto"/>
              </w:rPr>
              <w:t>周樹林</w:t>
            </w:r>
          </w:p>
          <w:p w:rsidR="00307571" w:rsidRPr="00EF43D4" w:rsidRDefault="00307571" w:rsidP="001E4A7A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auto"/>
              </w:rPr>
            </w:pPr>
            <w:r w:rsidRPr="00EF43D4">
              <w:rPr>
                <w:rFonts w:ascii="微軟正黑體" w:eastAsia="微軟正黑體" w:hAnsi="微軟正黑體" w:hint="eastAsia"/>
                <w:color w:val="auto"/>
              </w:rPr>
              <w:t>主任</w:t>
            </w:r>
            <w:r w:rsidR="00EF43D4" w:rsidRPr="00EF43D4">
              <w:rPr>
                <w:rFonts w:ascii="微軟正黑體" w:eastAsia="微軟正黑體" w:hAnsi="微軟正黑體" w:hint="eastAsia"/>
                <w:color w:val="auto"/>
              </w:rPr>
              <w:t>／資策會產業情報研究所</w:t>
            </w:r>
            <w:r w:rsidR="00A32FBE">
              <w:rPr>
                <w:rFonts w:ascii="微軟正黑體" w:eastAsia="微軟正黑體" w:hAnsi="微軟正黑體" w:hint="eastAsia"/>
                <w:color w:val="auto"/>
              </w:rPr>
              <w:t>(MIC)</w:t>
            </w:r>
          </w:p>
        </w:tc>
      </w:tr>
      <w:tr w:rsidR="00EF43D4" w:rsidRPr="00EF43D4" w:rsidTr="00A32F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pct"/>
            <w:tcBorders>
              <w:top w:val="single" w:sz="4" w:space="0" w:color="4F81BD" w:themeColor="accent1"/>
              <w:bottom w:val="single" w:sz="4" w:space="0" w:color="4F81BD" w:themeColor="accent1"/>
            </w:tcBorders>
            <w:hideMark/>
          </w:tcPr>
          <w:p w:rsidR="000476D1" w:rsidRPr="00EF43D4" w:rsidRDefault="000476D1" w:rsidP="001E4A7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auto"/>
              </w:rPr>
            </w:pPr>
            <w:r w:rsidRPr="00EF43D4">
              <w:rPr>
                <w:rFonts w:ascii="微軟正黑體" w:eastAsia="微軟正黑體" w:hAnsi="微軟正黑體"/>
                <w:color w:val="auto"/>
              </w:rPr>
              <w:t>13:40 ~ 14:30</w:t>
            </w:r>
          </w:p>
          <w:p w:rsidR="000476D1" w:rsidRPr="00A32FBE" w:rsidRDefault="000476D1" w:rsidP="001E4A7A">
            <w:pPr>
              <w:adjustRightInd w:val="0"/>
              <w:snapToGrid w:val="0"/>
              <w:rPr>
                <w:rFonts w:ascii="微軟正黑體" w:eastAsia="微軟正黑體" w:hAnsi="微軟正黑體" w:cs="新細明體"/>
                <w:b w:val="0"/>
                <w:color w:val="auto"/>
                <w:szCs w:val="24"/>
              </w:rPr>
            </w:pPr>
          </w:p>
        </w:tc>
        <w:tc>
          <w:tcPr>
            <w:tcW w:w="1581" w:type="pct"/>
            <w:tcBorders>
              <w:top w:val="single" w:sz="4" w:space="0" w:color="4F81BD" w:themeColor="accent1"/>
              <w:bottom w:val="single" w:sz="4" w:space="0" w:color="4F81BD" w:themeColor="accent1"/>
            </w:tcBorders>
            <w:hideMark/>
          </w:tcPr>
          <w:p w:rsidR="00F04289" w:rsidRDefault="00BF4EA5" w:rsidP="001E4A7A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auto"/>
              </w:rPr>
            </w:pPr>
            <w:r w:rsidRPr="00BF4EA5">
              <w:rPr>
                <w:rFonts w:ascii="微軟正黑體" w:eastAsia="微軟正黑體" w:hAnsi="微軟正黑體" w:hint="eastAsia"/>
                <w:color w:val="auto"/>
              </w:rPr>
              <w:t>能源政策及台電電源開發規劃</w:t>
            </w:r>
          </w:p>
          <w:p w:rsidR="000476D1" w:rsidRPr="00EF43D4" w:rsidRDefault="00F04289" w:rsidP="001E4A7A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auto"/>
                <w:szCs w:val="24"/>
              </w:rPr>
            </w:pPr>
            <w:r w:rsidRPr="00A32FBE">
              <w:rPr>
                <w:rFonts w:ascii="微軟正黑體" w:eastAsia="微軟正黑體" w:hAnsi="微軟正黑體" w:hint="eastAsia"/>
                <w:color w:val="auto"/>
                <w:sz w:val="20"/>
              </w:rPr>
              <w:t>(演講30分鐘，討論20分鐘)</w:t>
            </w:r>
          </w:p>
        </w:tc>
        <w:tc>
          <w:tcPr>
            <w:tcW w:w="2358" w:type="pct"/>
            <w:tcBorders>
              <w:top w:val="single" w:sz="4" w:space="0" w:color="4F81BD" w:themeColor="accent1"/>
              <w:bottom w:val="single" w:sz="4" w:space="0" w:color="4F81BD" w:themeColor="accent1"/>
            </w:tcBorders>
            <w:hideMark/>
          </w:tcPr>
          <w:p w:rsidR="00EF43D4" w:rsidRPr="00EF43D4" w:rsidRDefault="000476D1" w:rsidP="00EF43D4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auto"/>
              </w:rPr>
            </w:pPr>
            <w:r w:rsidRPr="00EF43D4">
              <w:rPr>
                <w:rFonts w:ascii="微軟正黑體" w:eastAsia="微軟正黑體" w:hAnsi="微軟正黑體" w:hint="eastAsia"/>
                <w:b/>
                <w:color w:val="auto"/>
              </w:rPr>
              <w:t>鄭</w:t>
            </w:r>
            <w:r w:rsidR="00EF43D4" w:rsidRPr="00EF43D4">
              <w:rPr>
                <w:rFonts w:ascii="微軟正黑體" w:eastAsia="微軟正黑體" w:hAnsi="微軟正黑體" w:hint="eastAsia"/>
                <w:b/>
                <w:color w:val="auto"/>
              </w:rPr>
              <w:t>慶鴻</w:t>
            </w:r>
          </w:p>
          <w:p w:rsidR="000476D1" w:rsidRPr="00EF43D4" w:rsidRDefault="000476D1" w:rsidP="00EF43D4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auto"/>
                <w:szCs w:val="24"/>
              </w:rPr>
            </w:pPr>
            <w:r w:rsidRPr="00EF43D4">
              <w:rPr>
                <w:rFonts w:ascii="微軟正黑體" w:eastAsia="微軟正黑體" w:hAnsi="微軟正黑體" w:hint="eastAsia"/>
                <w:color w:val="auto"/>
              </w:rPr>
              <w:t>組長</w:t>
            </w:r>
            <w:r w:rsidR="00EF43D4" w:rsidRPr="00EF43D4">
              <w:rPr>
                <w:rFonts w:ascii="微軟正黑體" w:eastAsia="微軟正黑體" w:hAnsi="微軟正黑體" w:hint="eastAsia"/>
                <w:color w:val="auto"/>
              </w:rPr>
              <w:t>／台電公司電源開發處電源策</w:t>
            </w:r>
            <w:r w:rsidR="00F04289" w:rsidRPr="00BF4EA5">
              <w:rPr>
                <w:rFonts w:ascii="微軟正黑體" w:eastAsia="微軟正黑體" w:hAnsi="微軟正黑體" w:hint="eastAsia"/>
                <w:color w:val="auto"/>
              </w:rPr>
              <w:t>劃</w:t>
            </w:r>
            <w:r w:rsidR="00EF43D4" w:rsidRPr="00EF43D4">
              <w:rPr>
                <w:rFonts w:ascii="微軟正黑體" w:eastAsia="微軟正黑體" w:hAnsi="微軟正黑體" w:hint="eastAsia"/>
                <w:color w:val="auto"/>
              </w:rPr>
              <w:t>組</w:t>
            </w:r>
          </w:p>
        </w:tc>
      </w:tr>
      <w:tr w:rsidR="00187310" w:rsidRPr="00EF43D4" w:rsidTr="00187310">
        <w:trPr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pct"/>
            <w:tcBorders>
              <w:top w:val="single" w:sz="4" w:space="0" w:color="4F81BD" w:themeColor="accent1"/>
              <w:bottom w:val="single" w:sz="4" w:space="0" w:color="4F81BD" w:themeColor="accent1"/>
            </w:tcBorders>
          </w:tcPr>
          <w:p w:rsidR="00187310" w:rsidRPr="00EF43D4" w:rsidRDefault="00187310" w:rsidP="001E4A7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F43D4">
              <w:rPr>
                <w:rFonts w:ascii="微軟正黑體" w:eastAsia="微軟正黑體" w:hAnsi="微軟正黑體"/>
                <w:color w:val="auto"/>
              </w:rPr>
              <w:t>1</w:t>
            </w:r>
            <w:r>
              <w:rPr>
                <w:rFonts w:ascii="微軟正黑體" w:eastAsia="微軟正黑體" w:hAnsi="微軟正黑體" w:hint="eastAsia"/>
                <w:color w:val="auto"/>
              </w:rPr>
              <w:t>4</w:t>
            </w:r>
            <w:r w:rsidRPr="00EF43D4">
              <w:rPr>
                <w:rFonts w:ascii="微軟正黑體" w:eastAsia="微軟正黑體" w:hAnsi="微軟正黑體"/>
                <w:color w:val="auto"/>
              </w:rPr>
              <w:t>:</w:t>
            </w:r>
            <w:r>
              <w:rPr>
                <w:rFonts w:ascii="微軟正黑體" w:eastAsia="微軟正黑體" w:hAnsi="微軟正黑體" w:hint="eastAsia"/>
                <w:color w:val="auto"/>
              </w:rPr>
              <w:t>3</w:t>
            </w:r>
            <w:r w:rsidRPr="00EF43D4">
              <w:rPr>
                <w:rFonts w:ascii="微軟正黑體" w:eastAsia="微軟正黑體" w:hAnsi="微軟正黑體"/>
                <w:color w:val="auto"/>
              </w:rPr>
              <w:t>0 ~ 14:</w:t>
            </w:r>
            <w:r>
              <w:rPr>
                <w:rFonts w:ascii="微軟正黑體" w:eastAsia="微軟正黑體" w:hAnsi="微軟正黑體" w:hint="eastAsia"/>
                <w:color w:val="auto"/>
              </w:rPr>
              <w:t>4</w:t>
            </w:r>
            <w:r w:rsidRPr="00EF43D4">
              <w:rPr>
                <w:rFonts w:ascii="微軟正黑體" w:eastAsia="微軟正黑體" w:hAnsi="微軟正黑體"/>
                <w:color w:val="auto"/>
              </w:rPr>
              <w:t>0</w:t>
            </w:r>
          </w:p>
        </w:tc>
        <w:tc>
          <w:tcPr>
            <w:tcW w:w="1581" w:type="pct"/>
            <w:tcBorders>
              <w:top w:val="single" w:sz="4" w:space="0" w:color="4F81BD" w:themeColor="accent1"/>
              <w:bottom w:val="single" w:sz="4" w:space="0" w:color="4F81BD" w:themeColor="accent1"/>
            </w:tcBorders>
          </w:tcPr>
          <w:p w:rsidR="00187310" w:rsidRPr="00BF4EA5" w:rsidRDefault="00187310" w:rsidP="001E4A7A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187310">
              <w:rPr>
                <w:rFonts w:ascii="微軟正黑體" w:eastAsia="微軟正黑體" w:hAnsi="微軟正黑體" w:hint="eastAsia"/>
                <w:color w:val="auto"/>
              </w:rPr>
              <w:t>掌握能源知識的利器-能源資訊平台</w:t>
            </w:r>
          </w:p>
        </w:tc>
        <w:tc>
          <w:tcPr>
            <w:tcW w:w="2358" w:type="pct"/>
            <w:tcBorders>
              <w:top w:val="single" w:sz="4" w:space="0" w:color="4F81BD" w:themeColor="accent1"/>
              <w:bottom w:val="single" w:sz="4" w:space="0" w:color="4F81BD" w:themeColor="accent1"/>
            </w:tcBorders>
          </w:tcPr>
          <w:p w:rsidR="00187310" w:rsidRPr="00187310" w:rsidRDefault="00187310" w:rsidP="00187310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auto"/>
              </w:rPr>
            </w:pPr>
            <w:r w:rsidRPr="00187310">
              <w:rPr>
                <w:rFonts w:ascii="微軟正黑體" w:eastAsia="微軟正黑體" w:hAnsi="微軟正黑體" w:hint="eastAsia"/>
                <w:b/>
                <w:color w:val="auto"/>
              </w:rPr>
              <w:t>吳雨寰</w:t>
            </w:r>
          </w:p>
          <w:p w:rsidR="00187310" w:rsidRPr="00EF43D4" w:rsidRDefault="00187310" w:rsidP="00187310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color w:val="auto"/>
              </w:rPr>
              <w:t>助理研發師</w:t>
            </w:r>
            <w:r w:rsidRPr="00EF43D4">
              <w:rPr>
                <w:rFonts w:ascii="微軟正黑體" w:eastAsia="微軟正黑體" w:hAnsi="微軟正黑體" w:hint="eastAsia"/>
                <w:color w:val="auto"/>
              </w:rPr>
              <w:t>／</w:t>
            </w:r>
            <w:r>
              <w:rPr>
                <w:rFonts w:ascii="微軟正黑體" w:eastAsia="微軟正黑體" w:hAnsi="微軟正黑體" w:hint="eastAsia"/>
                <w:color w:val="auto"/>
              </w:rPr>
              <w:t>核能研究所</w:t>
            </w:r>
          </w:p>
        </w:tc>
      </w:tr>
      <w:tr w:rsidR="00EF43D4" w:rsidRPr="00EF43D4" w:rsidTr="005F2E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pct"/>
            <w:tcBorders>
              <w:top w:val="single" w:sz="4" w:space="0" w:color="4F81BD" w:themeColor="accent1"/>
              <w:bottom w:val="single" w:sz="4" w:space="0" w:color="4F81BD" w:themeColor="accent1"/>
            </w:tcBorders>
            <w:hideMark/>
          </w:tcPr>
          <w:p w:rsidR="000476D1" w:rsidRPr="00EF43D4" w:rsidRDefault="000476D1" w:rsidP="001E4A7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auto"/>
                <w:szCs w:val="24"/>
              </w:rPr>
            </w:pPr>
            <w:r w:rsidRPr="00EF43D4">
              <w:rPr>
                <w:rFonts w:ascii="微軟正黑體" w:eastAsia="微軟正黑體" w:hAnsi="微軟正黑體"/>
                <w:color w:val="auto"/>
              </w:rPr>
              <w:t>14:</w:t>
            </w:r>
            <w:r w:rsidR="00187310">
              <w:rPr>
                <w:rFonts w:ascii="微軟正黑體" w:eastAsia="微軟正黑體" w:hAnsi="微軟正黑體" w:hint="eastAsia"/>
                <w:color w:val="auto"/>
              </w:rPr>
              <w:t>4</w:t>
            </w:r>
            <w:r w:rsidRPr="00EF43D4">
              <w:rPr>
                <w:rFonts w:ascii="微軟正黑體" w:eastAsia="微軟正黑體" w:hAnsi="微軟正黑體"/>
                <w:color w:val="auto"/>
              </w:rPr>
              <w:t>0 ~ 1</w:t>
            </w:r>
            <w:r w:rsidR="00187310">
              <w:rPr>
                <w:rFonts w:ascii="微軟正黑體" w:eastAsia="微軟正黑體" w:hAnsi="微軟正黑體" w:hint="eastAsia"/>
                <w:color w:val="auto"/>
              </w:rPr>
              <w:t>5</w:t>
            </w:r>
            <w:r w:rsidRPr="00EF43D4">
              <w:rPr>
                <w:rFonts w:ascii="微軟正黑體" w:eastAsia="微軟正黑體" w:hAnsi="微軟正黑體"/>
                <w:color w:val="auto"/>
              </w:rPr>
              <w:t>:</w:t>
            </w:r>
            <w:r w:rsidR="00187310">
              <w:rPr>
                <w:rFonts w:ascii="微軟正黑體" w:eastAsia="微軟正黑體" w:hAnsi="微軟正黑體" w:hint="eastAsia"/>
                <w:color w:val="auto"/>
              </w:rPr>
              <w:t>0</w:t>
            </w:r>
            <w:r w:rsidRPr="00EF43D4">
              <w:rPr>
                <w:rFonts w:ascii="微軟正黑體" w:eastAsia="微軟正黑體" w:hAnsi="微軟正黑體"/>
                <w:color w:val="auto"/>
              </w:rPr>
              <w:t>0</w:t>
            </w:r>
          </w:p>
        </w:tc>
        <w:tc>
          <w:tcPr>
            <w:tcW w:w="3939" w:type="pct"/>
            <w:gridSpan w:val="2"/>
            <w:tcBorders>
              <w:top w:val="single" w:sz="4" w:space="0" w:color="4F81BD" w:themeColor="accent1"/>
              <w:bottom w:val="single" w:sz="4" w:space="0" w:color="4F81BD" w:themeColor="accent1"/>
            </w:tcBorders>
            <w:hideMark/>
          </w:tcPr>
          <w:p w:rsidR="000476D1" w:rsidRPr="00EF43D4" w:rsidRDefault="00A32FBE" w:rsidP="001E4A7A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auto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auto"/>
              </w:rPr>
              <w:t>中場休息與茶敘</w:t>
            </w:r>
          </w:p>
        </w:tc>
      </w:tr>
      <w:tr w:rsidR="00EF43D4" w:rsidRPr="00EF43D4" w:rsidTr="00187310">
        <w:trPr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pct"/>
            <w:vMerge w:val="restart"/>
            <w:tcBorders>
              <w:top w:val="single" w:sz="4" w:space="0" w:color="4F81BD" w:themeColor="accent1"/>
            </w:tcBorders>
            <w:vAlign w:val="center"/>
            <w:hideMark/>
          </w:tcPr>
          <w:p w:rsidR="000476D1" w:rsidRPr="00EF43D4" w:rsidRDefault="000476D1" w:rsidP="00EF43D4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color w:val="auto"/>
              </w:rPr>
            </w:pPr>
            <w:r w:rsidRPr="00EF43D4">
              <w:rPr>
                <w:rFonts w:ascii="微軟正黑體" w:eastAsia="微軟正黑體" w:hAnsi="微軟正黑體"/>
                <w:color w:val="auto"/>
              </w:rPr>
              <w:t>1</w:t>
            </w:r>
            <w:r w:rsidR="00187310">
              <w:rPr>
                <w:rFonts w:ascii="微軟正黑體" w:eastAsia="微軟正黑體" w:hAnsi="微軟正黑體" w:hint="eastAsia"/>
                <w:color w:val="auto"/>
              </w:rPr>
              <w:t>5</w:t>
            </w:r>
            <w:r w:rsidRPr="00EF43D4">
              <w:rPr>
                <w:rFonts w:ascii="微軟正黑體" w:eastAsia="微軟正黑體" w:hAnsi="微軟正黑體"/>
                <w:color w:val="auto"/>
              </w:rPr>
              <w:t>:</w:t>
            </w:r>
            <w:r w:rsidR="00187310">
              <w:rPr>
                <w:rFonts w:ascii="微軟正黑體" w:eastAsia="微軟正黑體" w:hAnsi="微軟正黑體" w:hint="eastAsia"/>
                <w:color w:val="auto"/>
              </w:rPr>
              <w:t>0</w:t>
            </w:r>
            <w:r w:rsidRPr="00EF43D4">
              <w:rPr>
                <w:rFonts w:ascii="微軟正黑體" w:eastAsia="微軟正黑體" w:hAnsi="微軟正黑體"/>
                <w:color w:val="auto"/>
              </w:rPr>
              <w:t>0 ~ 15:</w:t>
            </w:r>
            <w:r w:rsidR="00187310">
              <w:rPr>
                <w:rFonts w:ascii="微軟正黑體" w:eastAsia="微軟正黑體" w:hAnsi="微軟正黑體" w:hint="eastAsia"/>
                <w:color w:val="auto"/>
              </w:rPr>
              <w:t>55</w:t>
            </w:r>
          </w:p>
        </w:tc>
        <w:tc>
          <w:tcPr>
            <w:tcW w:w="1581" w:type="pct"/>
            <w:tcBorders>
              <w:top w:val="single" w:sz="4" w:space="0" w:color="4F81BD" w:themeColor="accent1"/>
            </w:tcBorders>
            <w:hideMark/>
          </w:tcPr>
          <w:p w:rsidR="000476D1" w:rsidRPr="00EF43D4" w:rsidRDefault="00187310" w:rsidP="00187310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auto"/>
                <w:szCs w:val="24"/>
              </w:rPr>
            </w:pPr>
            <w:r w:rsidRPr="00187310">
              <w:rPr>
                <w:rFonts w:ascii="微軟正黑體" w:eastAsia="微軟正黑體" w:hAnsi="微軟正黑體" w:hint="eastAsia"/>
                <w:color w:val="auto"/>
              </w:rPr>
              <w:t>能源決策分析與實證研究</w:t>
            </w:r>
            <w:r w:rsidRPr="00187310">
              <w:rPr>
                <w:rFonts w:ascii="微軟正黑體" w:eastAsia="微軟正黑體" w:hAnsi="微軟正黑體" w:hint="eastAsia"/>
                <w:color w:val="auto"/>
              </w:rPr>
              <w:br/>
            </w:r>
            <w:r w:rsidR="00EF43D4" w:rsidRPr="00EF43D4">
              <w:rPr>
                <w:rFonts w:ascii="微軟正黑體" w:eastAsia="微軟正黑體" w:hAnsi="微軟正黑體" w:hint="eastAsia"/>
                <w:color w:val="auto"/>
                <w:sz w:val="20"/>
              </w:rPr>
              <w:t>(報告30分鐘，與談5分鐘，討論</w:t>
            </w:r>
            <w:r>
              <w:rPr>
                <w:rFonts w:ascii="微軟正黑體" w:eastAsia="微軟正黑體" w:hAnsi="微軟正黑體" w:hint="eastAsia"/>
                <w:color w:val="auto"/>
                <w:sz w:val="20"/>
              </w:rPr>
              <w:t>20</w:t>
            </w:r>
            <w:r w:rsidR="00EF43D4" w:rsidRPr="00EF43D4">
              <w:rPr>
                <w:rFonts w:ascii="微軟正黑體" w:eastAsia="微軟正黑體" w:hAnsi="微軟正黑體" w:hint="eastAsia"/>
                <w:color w:val="auto"/>
                <w:sz w:val="20"/>
              </w:rPr>
              <w:t>分鐘)</w:t>
            </w:r>
          </w:p>
        </w:tc>
        <w:tc>
          <w:tcPr>
            <w:tcW w:w="2358" w:type="pct"/>
            <w:tcBorders>
              <w:top w:val="single" w:sz="4" w:space="0" w:color="4F81BD" w:themeColor="accent1"/>
            </w:tcBorders>
            <w:hideMark/>
          </w:tcPr>
          <w:p w:rsidR="00EF43D4" w:rsidRDefault="000476D1" w:rsidP="00EF43D4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auto"/>
              </w:rPr>
            </w:pPr>
            <w:r w:rsidRPr="00EF43D4">
              <w:rPr>
                <w:rFonts w:ascii="微軟正黑體" w:eastAsia="微軟正黑體" w:hAnsi="微軟正黑體" w:hint="eastAsia"/>
                <w:b/>
                <w:color w:val="auto"/>
              </w:rPr>
              <w:t>王京明</w:t>
            </w:r>
          </w:p>
          <w:p w:rsidR="000476D1" w:rsidRPr="00EF43D4" w:rsidRDefault="000476D1" w:rsidP="001E4A7A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auto"/>
                <w:szCs w:val="24"/>
              </w:rPr>
            </w:pPr>
            <w:r w:rsidRPr="00EF43D4">
              <w:rPr>
                <w:rFonts w:ascii="微軟正黑體" w:eastAsia="微軟正黑體" w:hAnsi="微軟正黑體" w:hint="eastAsia"/>
                <w:color w:val="auto"/>
              </w:rPr>
              <w:t>研究員</w:t>
            </w:r>
            <w:r w:rsidR="00EF43D4">
              <w:rPr>
                <w:rFonts w:ascii="微軟正黑體" w:eastAsia="微軟正黑體" w:hAnsi="微軟正黑體" w:hint="eastAsia"/>
                <w:color w:val="auto"/>
              </w:rPr>
              <w:t>／</w:t>
            </w:r>
            <w:r w:rsidR="00EF43D4" w:rsidRPr="00EF43D4">
              <w:rPr>
                <w:rFonts w:ascii="微軟正黑體" w:eastAsia="微軟正黑體" w:hAnsi="微軟正黑體" w:hint="eastAsia"/>
                <w:color w:val="auto"/>
              </w:rPr>
              <w:t>中華經濟研究院</w:t>
            </w:r>
          </w:p>
        </w:tc>
      </w:tr>
      <w:tr w:rsidR="00EF43D4" w:rsidRPr="00EF43D4" w:rsidTr="005F2E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pct"/>
            <w:vMerge/>
            <w:tcBorders>
              <w:bottom w:val="single" w:sz="4" w:space="0" w:color="4F81BD" w:themeColor="accent1"/>
            </w:tcBorders>
            <w:hideMark/>
          </w:tcPr>
          <w:p w:rsidR="000476D1" w:rsidRPr="00EF43D4" w:rsidRDefault="000476D1" w:rsidP="001E4A7A">
            <w:pPr>
              <w:adjustRightInd w:val="0"/>
              <w:snapToGrid w:val="0"/>
              <w:rPr>
                <w:rFonts w:ascii="微軟正黑體" w:eastAsia="微軟正黑體" w:hAnsi="微軟正黑體" w:cs="新細明體"/>
                <w:color w:val="auto"/>
                <w:szCs w:val="24"/>
              </w:rPr>
            </w:pPr>
          </w:p>
        </w:tc>
        <w:tc>
          <w:tcPr>
            <w:tcW w:w="3939" w:type="pct"/>
            <w:gridSpan w:val="2"/>
            <w:tcBorders>
              <w:bottom w:val="single" w:sz="4" w:space="0" w:color="4F81BD" w:themeColor="accent1"/>
            </w:tcBorders>
            <w:hideMark/>
          </w:tcPr>
          <w:p w:rsidR="000476D1" w:rsidRPr="00EF43D4" w:rsidRDefault="000476D1" w:rsidP="001E4A7A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auto"/>
                <w:szCs w:val="24"/>
              </w:rPr>
            </w:pPr>
            <w:r w:rsidRPr="00EF43D4">
              <w:rPr>
                <w:rFonts w:ascii="微軟正黑體" w:eastAsia="微軟正黑體" w:hAnsi="微軟正黑體" w:hint="eastAsia"/>
                <w:color w:val="auto"/>
              </w:rPr>
              <w:t>※與談人</w:t>
            </w:r>
          </w:p>
          <w:p w:rsidR="000476D1" w:rsidRPr="00EF43D4" w:rsidRDefault="000476D1" w:rsidP="001E4A7A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auto"/>
                <w:szCs w:val="24"/>
              </w:rPr>
            </w:pPr>
            <w:r w:rsidRPr="00EF43D4">
              <w:rPr>
                <w:rFonts w:ascii="微軟正黑體" w:eastAsia="微軟正黑體" w:hAnsi="微軟正黑體" w:hint="eastAsia"/>
                <w:b/>
                <w:color w:val="auto"/>
              </w:rPr>
              <w:t>柏雲昌</w:t>
            </w:r>
            <w:r w:rsidR="00F04289">
              <w:rPr>
                <w:rFonts w:ascii="微軟正黑體" w:eastAsia="微軟正黑體" w:hAnsi="微軟正黑體" w:hint="eastAsia"/>
                <w:color w:val="auto"/>
              </w:rPr>
              <w:t xml:space="preserve"> </w:t>
            </w:r>
            <w:r w:rsidRPr="00EF43D4">
              <w:rPr>
                <w:rFonts w:ascii="微軟正黑體" w:eastAsia="微軟正黑體" w:hAnsi="微軟正黑體" w:hint="eastAsia"/>
                <w:color w:val="auto"/>
              </w:rPr>
              <w:t>教授／文化大學</w:t>
            </w:r>
            <w:r w:rsidR="00EF43D4">
              <w:rPr>
                <w:rFonts w:ascii="微軟正黑體" w:eastAsia="微軟正黑體" w:hAnsi="微軟正黑體" w:hint="eastAsia"/>
                <w:color w:val="auto"/>
              </w:rPr>
              <w:t>經濟系</w:t>
            </w:r>
          </w:p>
        </w:tc>
      </w:tr>
      <w:tr w:rsidR="00EF43D4" w:rsidRPr="00EF43D4" w:rsidTr="00187310">
        <w:trPr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pct"/>
            <w:vMerge w:val="restart"/>
            <w:tcBorders>
              <w:top w:val="single" w:sz="4" w:space="0" w:color="4F81BD" w:themeColor="accent1"/>
            </w:tcBorders>
            <w:vAlign w:val="center"/>
            <w:hideMark/>
          </w:tcPr>
          <w:p w:rsidR="000476D1" w:rsidRPr="00EF43D4" w:rsidRDefault="000476D1" w:rsidP="00EF43D4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color w:val="auto"/>
              </w:rPr>
            </w:pPr>
            <w:r w:rsidRPr="00EF43D4">
              <w:rPr>
                <w:rFonts w:ascii="微軟正黑體" w:eastAsia="微軟正黑體" w:hAnsi="微軟正黑體"/>
                <w:color w:val="auto"/>
              </w:rPr>
              <w:t>15:</w:t>
            </w:r>
            <w:r w:rsidR="00187310">
              <w:rPr>
                <w:rFonts w:ascii="微軟正黑體" w:eastAsia="微軟正黑體" w:hAnsi="微軟正黑體" w:hint="eastAsia"/>
                <w:color w:val="auto"/>
              </w:rPr>
              <w:t>55</w:t>
            </w:r>
            <w:r w:rsidRPr="00EF43D4">
              <w:rPr>
                <w:rFonts w:ascii="微軟正黑體" w:eastAsia="微軟正黑體" w:hAnsi="微軟正黑體"/>
                <w:color w:val="auto"/>
              </w:rPr>
              <w:t xml:space="preserve"> ~ 16:</w:t>
            </w:r>
            <w:r w:rsidR="00187310">
              <w:rPr>
                <w:rFonts w:ascii="微軟正黑體" w:eastAsia="微軟正黑體" w:hAnsi="微軟正黑體" w:hint="eastAsia"/>
                <w:color w:val="auto"/>
              </w:rPr>
              <w:t>5</w:t>
            </w:r>
            <w:r w:rsidRPr="00EF43D4">
              <w:rPr>
                <w:rFonts w:ascii="微軟正黑體" w:eastAsia="微軟正黑體" w:hAnsi="微軟正黑體"/>
                <w:color w:val="auto"/>
              </w:rPr>
              <w:t>0</w:t>
            </w:r>
          </w:p>
        </w:tc>
        <w:tc>
          <w:tcPr>
            <w:tcW w:w="1581" w:type="pct"/>
            <w:tcBorders>
              <w:top w:val="single" w:sz="4" w:space="0" w:color="4F81BD" w:themeColor="accent1"/>
            </w:tcBorders>
            <w:hideMark/>
          </w:tcPr>
          <w:p w:rsidR="00EF43D4" w:rsidRDefault="000476D1" w:rsidP="001E4A7A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auto"/>
              </w:rPr>
            </w:pPr>
            <w:r w:rsidRPr="00EF43D4">
              <w:rPr>
                <w:rFonts w:ascii="微軟正黑體" w:eastAsia="微軟正黑體" w:hAnsi="微軟正黑體" w:hint="eastAsia"/>
                <w:color w:val="auto"/>
              </w:rPr>
              <w:t>低碳電力社會意向調查</w:t>
            </w:r>
          </w:p>
          <w:p w:rsidR="000476D1" w:rsidRPr="00EF43D4" w:rsidRDefault="00EF43D4" w:rsidP="001E4A7A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auto"/>
                <w:szCs w:val="24"/>
              </w:rPr>
            </w:pPr>
            <w:r w:rsidRPr="00EF43D4">
              <w:rPr>
                <w:rFonts w:ascii="微軟正黑體" w:eastAsia="微軟正黑體" w:hAnsi="微軟正黑體" w:hint="eastAsia"/>
                <w:color w:val="auto"/>
                <w:sz w:val="20"/>
              </w:rPr>
              <w:t>(報告30分鐘，與談5分鐘，討論</w:t>
            </w:r>
            <w:r w:rsidR="00187310">
              <w:rPr>
                <w:rFonts w:ascii="微軟正黑體" w:eastAsia="微軟正黑體" w:hAnsi="微軟正黑體" w:hint="eastAsia"/>
                <w:color w:val="auto"/>
                <w:sz w:val="20"/>
              </w:rPr>
              <w:t>20</w:t>
            </w:r>
            <w:r w:rsidRPr="00EF43D4">
              <w:rPr>
                <w:rFonts w:ascii="微軟正黑體" w:eastAsia="微軟正黑體" w:hAnsi="微軟正黑體" w:hint="eastAsia"/>
                <w:color w:val="auto"/>
                <w:sz w:val="20"/>
              </w:rPr>
              <w:t>分鐘)</w:t>
            </w:r>
          </w:p>
        </w:tc>
        <w:tc>
          <w:tcPr>
            <w:tcW w:w="2358" w:type="pct"/>
            <w:tcBorders>
              <w:top w:val="single" w:sz="4" w:space="0" w:color="4F81BD" w:themeColor="accent1"/>
            </w:tcBorders>
            <w:hideMark/>
          </w:tcPr>
          <w:p w:rsidR="00EF43D4" w:rsidRDefault="000476D1" w:rsidP="00EF43D4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auto"/>
              </w:rPr>
            </w:pPr>
            <w:r w:rsidRPr="00EF43D4">
              <w:rPr>
                <w:rFonts w:ascii="微軟正黑體" w:eastAsia="微軟正黑體" w:hAnsi="微軟正黑體" w:hint="eastAsia"/>
                <w:b/>
                <w:color w:val="auto"/>
              </w:rPr>
              <w:t>姜漢儀</w:t>
            </w:r>
            <w:r w:rsidRPr="00EF43D4">
              <w:rPr>
                <w:rFonts w:ascii="微軟正黑體" w:eastAsia="微軟正黑體" w:hAnsi="微軟正黑體"/>
                <w:color w:val="auto"/>
              </w:rPr>
              <w:t xml:space="preserve"> </w:t>
            </w:r>
          </w:p>
          <w:p w:rsidR="000476D1" w:rsidRPr="00EF43D4" w:rsidRDefault="000476D1" w:rsidP="00EF43D4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auto"/>
                <w:szCs w:val="24"/>
              </w:rPr>
            </w:pPr>
            <w:r w:rsidRPr="00EF43D4">
              <w:rPr>
                <w:rFonts w:ascii="微軟正黑體" w:eastAsia="微軟正黑體" w:hAnsi="微軟正黑體" w:hint="eastAsia"/>
                <w:color w:val="auto"/>
              </w:rPr>
              <w:t>資深產業分析師</w:t>
            </w:r>
            <w:r w:rsidR="00F703BF">
              <w:rPr>
                <w:rFonts w:ascii="微軟正黑體" w:eastAsia="微軟正黑體" w:hAnsi="微軟正黑體" w:hint="eastAsia"/>
                <w:color w:val="auto"/>
              </w:rPr>
              <w:t>兼</w:t>
            </w:r>
            <w:r w:rsidR="00EF43D4">
              <w:rPr>
                <w:rFonts w:ascii="微軟正黑體" w:eastAsia="微軟正黑體" w:hAnsi="微軟正黑體" w:hint="eastAsia"/>
                <w:color w:val="auto"/>
              </w:rPr>
              <w:t>專案經理／</w:t>
            </w:r>
            <w:r w:rsidR="00EF43D4" w:rsidRPr="00EF43D4">
              <w:rPr>
                <w:rFonts w:ascii="微軟正黑體" w:eastAsia="微軟正黑體" w:hAnsi="微軟正黑體" w:hint="eastAsia"/>
                <w:color w:val="auto"/>
              </w:rPr>
              <w:t>資策會產業情報研究所</w:t>
            </w:r>
          </w:p>
        </w:tc>
      </w:tr>
      <w:tr w:rsidR="00EF43D4" w:rsidRPr="00EF43D4" w:rsidTr="005F2E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pct"/>
            <w:vMerge/>
            <w:tcBorders>
              <w:bottom w:val="single" w:sz="4" w:space="0" w:color="4F81BD" w:themeColor="accent1"/>
            </w:tcBorders>
            <w:hideMark/>
          </w:tcPr>
          <w:p w:rsidR="000476D1" w:rsidRPr="00EF43D4" w:rsidRDefault="000476D1" w:rsidP="001E4A7A">
            <w:pPr>
              <w:adjustRightInd w:val="0"/>
              <w:snapToGrid w:val="0"/>
              <w:rPr>
                <w:rFonts w:ascii="微軟正黑體" w:eastAsia="微軟正黑體" w:hAnsi="微軟正黑體" w:cs="新細明體"/>
                <w:color w:val="auto"/>
                <w:szCs w:val="24"/>
              </w:rPr>
            </w:pPr>
          </w:p>
        </w:tc>
        <w:tc>
          <w:tcPr>
            <w:tcW w:w="3939" w:type="pct"/>
            <w:gridSpan w:val="2"/>
            <w:tcBorders>
              <w:bottom w:val="single" w:sz="4" w:space="0" w:color="4F81BD" w:themeColor="accent1"/>
            </w:tcBorders>
            <w:hideMark/>
          </w:tcPr>
          <w:p w:rsidR="000476D1" w:rsidRPr="00EF43D4" w:rsidRDefault="000476D1" w:rsidP="001E4A7A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auto"/>
                <w:szCs w:val="24"/>
              </w:rPr>
            </w:pPr>
            <w:r w:rsidRPr="00EF43D4">
              <w:rPr>
                <w:rFonts w:ascii="微軟正黑體" w:eastAsia="微軟正黑體" w:hAnsi="微軟正黑體" w:hint="eastAsia"/>
                <w:color w:val="auto"/>
              </w:rPr>
              <w:t>※與談人</w:t>
            </w:r>
          </w:p>
          <w:p w:rsidR="000476D1" w:rsidRPr="00EF43D4" w:rsidRDefault="000476D1" w:rsidP="001E4A7A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auto"/>
                <w:szCs w:val="24"/>
              </w:rPr>
            </w:pPr>
            <w:r w:rsidRPr="00EF43D4">
              <w:rPr>
                <w:rFonts w:ascii="微軟正黑體" w:eastAsia="微軟正黑體" w:hAnsi="微軟正黑體" w:hint="eastAsia"/>
                <w:b/>
                <w:color w:val="auto"/>
              </w:rPr>
              <w:t>劉哲良</w:t>
            </w:r>
            <w:r w:rsidRPr="00EF43D4">
              <w:rPr>
                <w:rFonts w:ascii="微軟正黑體" w:eastAsia="微軟正黑體" w:hAnsi="微軟正黑體"/>
                <w:color w:val="auto"/>
              </w:rPr>
              <w:t xml:space="preserve"> </w:t>
            </w:r>
            <w:r w:rsidRPr="00EF43D4">
              <w:rPr>
                <w:rFonts w:ascii="微軟正黑體" w:eastAsia="微軟正黑體" w:hAnsi="微軟正黑體" w:hint="eastAsia"/>
                <w:color w:val="auto"/>
              </w:rPr>
              <w:t>副研究員／中華經濟研究院</w:t>
            </w:r>
          </w:p>
        </w:tc>
      </w:tr>
      <w:tr w:rsidR="00187310" w:rsidRPr="00EF43D4" w:rsidTr="005F2E7D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pct"/>
            <w:tcBorders>
              <w:bottom w:val="single" w:sz="4" w:space="0" w:color="4F81BD" w:themeColor="accent1"/>
            </w:tcBorders>
          </w:tcPr>
          <w:p w:rsidR="00187310" w:rsidRPr="00187310" w:rsidRDefault="00187310" w:rsidP="00187310">
            <w:pPr>
              <w:adjustRightInd w:val="0"/>
              <w:snapToGrid w:val="0"/>
              <w:rPr>
                <w:rFonts w:ascii="微軟正黑體" w:eastAsia="微軟正黑體" w:hAnsi="微軟正黑體" w:cs="新細明體"/>
                <w:color w:val="auto"/>
                <w:szCs w:val="24"/>
              </w:rPr>
            </w:pPr>
            <w:r w:rsidRPr="00187310">
              <w:rPr>
                <w:rFonts w:ascii="微軟正黑體" w:eastAsia="微軟正黑體" w:hAnsi="微軟正黑體"/>
                <w:color w:val="auto"/>
              </w:rPr>
              <w:t>1</w:t>
            </w:r>
            <w:r w:rsidRPr="00187310">
              <w:rPr>
                <w:rFonts w:ascii="微軟正黑體" w:eastAsia="微軟正黑體" w:hAnsi="微軟正黑體" w:hint="eastAsia"/>
                <w:color w:val="auto"/>
              </w:rPr>
              <w:t>6</w:t>
            </w:r>
            <w:r w:rsidRPr="00187310">
              <w:rPr>
                <w:rFonts w:ascii="微軟正黑體" w:eastAsia="微軟正黑體" w:hAnsi="微軟正黑體"/>
                <w:color w:val="auto"/>
              </w:rPr>
              <w:t>:</w:t>
            </w:r>
            <w:r w:rsidRPr="00187310">
              <w:rPr>
                <w:rFonts w:ascii="微軟正黑體" w:eastAsia="微軟正黑體" w:hAnsi="微軟正黑體" w:hint="eastAsia"/>
                <w:color w:val="auto"/>
              </w:rPr>
              <w:t>50</w:t>
            </w:r>
            <w:r w:rsidRPr="00187310">
              <w:rPr>
                <w:rFonts w:ascii="微軟正黑體" w:eastAsia="微軟正黑體" w:hAnsi="微軟正黑體"/>
                <w:color w:val="auto"/>
              </w:rPr>
              <w:t xml:space="preserve"> ~ 1</w:t>
            </w:r>
            <w:r w:rsidRPr="00187310">
              <w:rPr>
                <w:rFonts w:ascii="微軟正黑體" w:eastAsia="微軟正黑體" w:hAnsi="微軟正黑體" w:hint="eastAsia"/>
                <w:color w:val="auto"/>
              </w:rPr>
              <w:t>7</w:t>
            </w:r>
            <w:r w:rsidRPr="00187310">
              <w:rPr>
                <w:rFonts w:ascii="微軟正黑體" w:eastAsia="微軟正黑體" w:hAnsi="微軟正黑體"/>
                <w:color w:val="auto"/>
              </w:rPr>
              <w:t>:</w:t>
            </w:r>
            <w:r w:rsidRPr="00187310">
              <w:rPr>
                <w:rFonts w:ascii="微軟正黑體" w:eastAsia="微軟正黑體" w:hAnsi="微軟正黑體" w:hint="eastAsia"/>
                <w:color w:val="auto"/>
              </w:rPr>
              <w:t>0</w:t>
            </w:r>
            <w:r w:rsidRPr="00187310">
              <w:rPr>
                <w:rFonts w:ascii="微軟正黑體" w:eastAsia="微軟正黑體" w:hAnsi="微軟正黑體"/>
                <w:color w:val="auto"/>
              </w:rPr>
              <w:t>0</w:t>
            </w:r>
          </w:p>
        </w:tc>
        <w:tc>
          <w:tcPr>
            <w:tcW w:w="3939" w:type="pct"/>
            <w:gridSpan w:val="2"/>
            <w:tcBorders>
              <w:bottom w:val="single" w:sz="4" w:space="0" w:color="4F81BD" w:themeColor="accent1"/>
            </w:tcBorders>
          </w:tcPr>
          <w:p w:rsidR="00187310" w:rsidRPr="00187310" w:rsidRDefault="00187310" w:rsidP="001E4A7A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auto"/>
              </w:rPr>
            </w:pPr>
            <w:r w:rsidRPr="00187310">
              <w:rPr>
                <w:rFonts w:ascii="微軟正黑體" w:eastAsia="微軟正黑體" w:hAnsi="微軟正黑體" w:hint="eastAsia"/>
                <w:color w:val="auto"/>
              </w:rPr>
              <w:t>閉幕</w:t>
            </w:r>
          </w:p>
        </w:tc>
      </w:tr>
    </w:tbl>
    <w:p w:rsidR="008C1C9D" w:rsidRPr="001E4A7A" w:rsidRDefault="008C1C9D">
      <w:pPr>
        <w:rPr>
          <w:rFonts w:ascii="微軟正黑體" w:eastAsia="微軟正黑體" w:hAnsi="微軟正黑體"/>
        </w:rPr>
      </w:pPr>
    </w:p>
    <w:sectPr w:rsidR="008C1C9D" w:rsidRPr="001E4A7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24B" w:rsidRDefault="0060624B" w:rsidP="009D2657">
      <w:r>
        <w:separator/>
      </w:r>
    </w:p>
  </w:endnote>
  <w:endnote w:type="continuationSeparator" w:id="0">
    <w:p w:rsidR="0060624B" w:rsidRDefault="0060624B" w:rsidP="009D2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24B" w:rsidRDefault="0060624B" w:rsidP="009D2657">
      <w:r>
        <w:separator/>
      </w:r>
    </w:p>
  </w:footnote>
  <w:footnote w:type="continuationSeparator" w:id="0">
    <w:p w:rsidR="0060624B" w:rsidRDefault="0060624B" w:rsidP="009D2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B732A"/>
    <w:multiLevelType w:val="hybridMultilevel"/>
    <w:tmpl w:val="D72890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C9D"/>
    <w:rsid w:val="000476D1"/>
    <w:rsid w:val="000F464D"/>
    <w:rsid w:val="0012365E"/>
    <w:rsid w:val="00147DD4"/>
    <w:rsid w:val="00184AFD"/>
    <w:rsid w:val="00187310"/>
    <w:rsid w:val="001D4BED"/>
    <w:rsid w:val="001E4A7A"/>
    <w:rsid w:val="0021221F"/>
    <w:rsid w:val="0029093E"/>
    <w:rsid w:val="002A47E9"/>
    <w:rsid w:val="00306BA7"/>
    <w:rsid w:val="00307571"/>
    <w:rsid w:val="003B2F9B"/>
    <w:rsid w:val="003D24CA"/>
    <w:rsid w:val="00422737"/>
    <w:rsid w:val="004D7562"/>
    <w:rsid w:val="004E2B33"/>
    <w:rsid w:val="00533CD5"/>
    <w:rsid w:val="005F059F"/>
    <w:rsid w:val="005F2E7D"/>
    <w:rsid w:val="0060624B"/>
    <w:rsid w:val="00684746"/>
    <w:rsid w:val="006B2E6B"/>
    <w:rsid w:val="00783FF7"/>
    <w:rsid w:val="008118F6"/>
    <w:rsid w:val="008607BF"/>
    <w:rsid w:val="008C1C9D"/>
    <w:rsid w:val="00901D09"/>
    <w:rsid w:val="009D2657"/>
    <w:rsid w:val="00A32FBE"/>
    <w:rsid w:val="00AE7B54"/>
    <w:rsid w:val="00BF4EA5"/>
    <w:rsid w:val="00D00500"/>
    <w:rsid w:val="00D362F9"/>
    <w:rsid w:val="00E5466C"/>
    <w:rsid w:val="00E940F8"/>
    <w:rsid w:val="00EC3F85"/>
    <w:rsid w:val="00EF43D4"/>
    <w:rsid w:val="00F04289"/>
    <w:rsid w:val="00F124D2"/>
    <w:rsid w:val="00F4290D"/>
    <w:rsid w:val="00F51FC5"/>
    <w:rsid w:val="00F7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6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D265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D26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D2657"/>
    <w:rPr>
      <w:sz w:val="20"/>
      <w:szCs w:val="20"/>
    </w:rPr>
  </w:style>
  <w:style w:type="table" w:styleId="a7">
    <w:name w:val="Table Grid"/>
    <w:basedOn w:val="a1"/>
    <w:uiPriority w:val="59"/>
    <w:rsid w:val="002A4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07571"/>
    <w:pPr>
      <w:widowControl/>
      <w:ind w:leftChars="200" w:left="480"/>
    </w:pPr>
    <w:rPr>
      <w:rFonts w:ascii="Calibri" w:eastAsia="新細明體" w:hAnsi="Calibri" w:cs="新細明體"/>
      <w:kern w:val="0"/>
      <w:szCs w:val="24"/>
    </w:rPr>
  </w:style>
  <w:style w:type="character" w:customStyle="1" w:styleId="text-black">
    <w:name w:val="text-black"/>
    <w:basedOn w:val="a0"/>
    <w:rsid w:val="001E4A7A"/>
  </w:style>
  <w:style w:type="character" w:styleId="a9">
    <w:name w:val="Hyperlink"/>
    <w:basedOn w:val="a0"/>
    <w:uiPriority w:val="99"/>
    <w:unhideWhenUsed/>
    <w:rsid w:val="00EF43D4"/>
    <w:rPr>
      <w:color w:val="0000FF" w:themeColor="hyperlink"/>
      <w:u w:val="single"/>
    </w:rPr>
  </w:style>
  <w:style w:type="table" w:styleId="-1">
    <w:name w:val="Light Shading Accent 1"/>
    <w:basedOn w:val="a1"/>
    <w:uiPriority w:val="60"/>
    <w:rsid w:val="00EF43D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EF43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F43D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6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D265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D26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D2657"/>
    <w:rPr>
      <w:sz w:val="20"/>
      <w:szCs w:val="20"/>
    </w:rPr>
  </w:style>
  <w:style w:type="table" w:styleId="a7">
    <w:name w:val="Table Grid"/>
    <w:basedOn w:val="a1"/>
    <w:uiPriority w:val="59"/>
    <w:rsid w:val="002A4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07571"/>
    <w:pPr>
      <w:widowControl/>
      <w:ind w:leftChars="200" w:left="480"/>
    </w:pPr>
    <w:rPr>
      <w:rFonts w:ascii="Calibri" w:eastAsia="新細明體" w:hAnsi="Calibri" w:cs="新細明體"/>
      <w:kern w:val="0"/>
      <w:szCs w:val="24"/>
    </w:rPr>
  </w:style>
  <w:style w:type="character" w:customStyle="1" w:styleId="text-black">
    <w:name w:val="text-black"/>
    <w:basedOn w:val="a0"/>
    <w:rsid w:val="001E4A7A"/>
  </w:style>
  <w:style w:type="character" w:styleId="a9">
    <w:name w:val="Hyperlink"/>
    <w:basedOn w:val="a0"/>
    <w:uiPriority w:val="99"/>
    <w:unhideWhenUsed/>
    <w:rsid w:val="00EF43D4"/>
    <w:rPr>
      <w:color w:val="0000FF" w:themeColor="hyperlink"/>
      <w:u w:val="single"/>
    </w:rPr>
  </w:style>
  <w:style w:type="table" w:styleId="-1">
    <w:name w:val="Light Shading Accent 1"/>
    <w:basedOn w:val="a1"/>
    <w:uiPriority w:val="60"/>
    <w:rsid w:val="00EF43D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EF43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F43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8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lqbKy4LB96V59jyD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蕭子訓</dc:creator>
  <cp:lastModifiedBy>張簡秀芬</cp:lastModifiedBy>
  <cp:revision>4</cp:revision>
  <cp:lastPrinted>2016-09-22T01:56:00Z</cp:lastPrinted>
  <dcterms:created xsi:type="dcterms:W3CDTF">2016-09-22T06:53:00Z</dcterms:created>
  <dcterms:modified xsi:type="dcterms:W3CDTF">2016-09-29T02:52:00Z</dcterms:modified>
</cp:coreProperties>
</file>