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3C8" w:rsidRPr="00675166" w:rsidRDefault="00675166" w:rsidP="00675166">
      <w:pPr>
        <w:jc w:val="center"/>
        <w:rPr>
          <w:rFonts w:ascii="標楷體" w:eastAsia="標楷體" w:hAnsi="標楷體"/>
          <w:color w:val="000000" w:themeColor="text1"/>
          <w:sz w:val="36"/>
          <w:szCs w:val="36"/>
        </w:rPr>
      </w:pPr>
      <w:bookmarkStart w:id="0" w:name="_GoBack"/>
      <w:bookmarkEnd w:id="0"/>
      <w:r>
        <w:rPr>
          <w:rFonts w:ascii="標楷體" w:eastAsia="標楷體" w:hAnsi="標楷體" w:hint="eastAsia"/>
          <w:b/>
          <w:color w:val="000000" w:themeColor="text1"/>
          <w:sz w:val="36"/>
          <w:szCs w:val="36"/>
        </w:rPr>
        <w:t>科技部</w:t>
      </w:r>
      <w:r w:rsidR="00E920C9">
        <w:rPr>
          <w:rFonts w:ascii="標楷體" w:eastAsia="標楷體" w:hAnsi="標楷體" w:hint="eastAsia"/>
          <w:b/>
          <w:color w:val="000000" w:themeColor="text1"/>
          <w:sz w:val="36"/>
          <w:szCs w:val="36"/>
        </w:rPr>
        <w:t>生科司</w:t>
      </w:r>
      <w:r w:rsidR="009E4F7F">
        <w:rPr>
          <w:rFonts w:ascii="標楷體" w:eastAsia="標楷體" w:hAnsi="標楷體" w:hint="eastAsia"/>
          <w:b/>
          <w:color w:val="000000" w:themeColor="text1"/>
          <w:sz w:val="36"/>
          <w:szCs w:val="36"/>
        </w:rPr>
        <w:t>新規劃</w:t>
      </w:r>
      <w:r w:rsidR="009E4F7F" w:rsidRPr="009E4F7F">
        <w:rPr>
          <w:rFonts w:ascii="標楷體" w:eastAsia="標楷體" w:hAnsi="標楷體" w:hint="eastAsia"/>
          <w:b/>
          <w:color w:val="000000" w:themeColor="text1"/>
          <w:sz w:val="36"/>
          <w:szCs w:val="36"/>
        </w:rPr>
        <w:t>學門</w:t>
      </w:r>
      <w:r w:rsidR="009E4F7F">
        <w:rPr>
          <w:rFonts w:ascii="標楷體" w:eastAsia="標楷體" w:hAnsi="標楷體" w:hint="eastAsia"/>
          <w:b/>
          <w:color w:val="000000" w:themeColor="text1"/>
          <w:sz w:val="36"/>
          <w:szCs w:val="36"/>
        </w:rPr>
        <w:t>及</w:t>
      </w:r>
      <w:r w:rsidR="009E4F7F" w:rsidRPr="009E4F7F">
        <w:rPr>
          <w:rFonts w:ascii="標楷體" w:eastAsia="標楷體" w:hAnsi="標楷體" w:hint="eastAsia"/>
          <w:b/>
          <w:color w:val="000000" w:themeColor="text1"/>
          <w:sz w:val="36"/>
          <w:szCs w:val="36"/>
        </w:rPr>
        <w:t>學門研究主題涵蓋範圍</w:t>
      </w:r>
      <w:r w:rsidR="00F865D5">
        <w:rPr>
          <w:rFonts w:ascii="標楷體" w:eastAsia="標楷體" w:hAnsi="標楷體" w:hint="eastAsia"/>
          <w:b/>
          <w:color w:val="000000" w:themeColor="text1"/>
          <w:sz w:val="36"/>
          <w:szCs w:val="36"/>
        </w:rPr>
        <w:t xml:space="preserve">     </w:t>
      </w:r>
      <w:r w:rsidR="006C0A1A" w:rsidRPr="00675166">
        <w:rPr>
          <w:rFonts w:ascii="標楷體" w:eastAsia="標楷體" w:hAnsi="標楷體" w:hint="eastAsia"/>
          <w:color w:val="000000" w:themeColor="text1"/>
          <w:sz w:val="12"/>
          <w:szCs w:val="12"/>
        </w:rPr>
        <w:t>10</w:t>
      </w:r>
      <w:r>
        <w:rPr>
          <w:rFonts w:ascii="標楷體" w:eastAsia="標楷體" w:hAnsi="標楷體" w:hint="eastAsia"/>
          <w:color w:val="000000" w:themeColor="text1"/>
          <w:sz w:val="12"/>
          <w:szCs w:val="12"/>
        </w:rPr>
        <w:t>3.11.07</w:t>
      </w:r>
      <w:r w:rsidR="006C0A1A" w:rsidRPr="00675166">
        <w:rPr>
          <w:rFonts w:ascii="標楷體" w:eastAsia="標楷體" w:hAnsi="標楷體" w:hint="eastAsia"/>
          <w:color w:val="000000" w:themeColor="text1"/>
          <w:sz w:val="12"/>
          <w:szCs w:val="12"/>
        </w:rPr>
        <w:t xml:space="preserve"> final</w:t>
      </w:r>
    </w:p>
    <w:tbl>
      <w:tblPr>
        <w:tblW w:w="10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049"/>
        <w:gridCol w:w="3637"/>
        <w:gridCol w:w="4229"/>
      </w:tblGrid>
      <w:tr w:rsidR="007A63E5" w:rsidRPr="007A63E5" w:rsidTr="003C53FB">
        <w:trPr>
          <w:cantSplit/>
          <w:trHeight w:val="543"/>
          <w:tblHeader/>
          <w:jc w:val="center"/>
        </w:trPr>
        <w:tc>
          <w:tcPr>
            <w:tcW w:w="3049" w:type="dxa"/>
            <w:tcBorders>
              <w:top w:val="single" w:sz="4" w:space="0" w:color="auto"/>
              <w:left w:val="single" w:sz="4" w:space="0" w:color="auto"/>
              <w:bottom w:val="single" w:sz="4" w:space="0" w:color="auto"/>
              <w:right w:val="single" w:sz="4" w:space="0" w:color="auto"/>
            </w:tcBorders>
            <w:vAlign w:val="center"/>
            <w:hideMark/>
          </w:tcPr>
          <w:p w:rsidR="002403FF" w:rsidRPr="007A63E5" w:rsidRDefault="002403FF" w:rsidP="00241BD4">
            <w:pPr>
              <w:jc w:val="center"/>
              <w:rPr>
                <w:rFonts w:ascii="Calibri" w:eastAsia="標楷體" w:hAnsi="Calibri"/>
                <w:b/>
                <w:color w:val="000000" w:themeColor="text1"/>
                <w:sz w:val="28"/>
                <w:szCs w:val="28"/>
              </w:rPr>
            </w:pPr>
            <w:r w:rsidRPr="007A63E5">
              <w:rPr>
                <w:rFonts w:ascii="Calibri" w:eastAsia="標楷體" w:hAnsi="Calibri" w:hint="eastAsia"/>
                <w:b/>
                <w:color w:val="000000" w:themeColor="text1"/>
                <w:sz w:val="28"/>
                <w:szCs w:val="28"/>
              </w:rPr>
              <w:t>新學門</w:t>
            </w:r>
          </w:p>
        </w:tc>
        <w:tc>
          <w:tcPr>
            <w:tcW w:w="36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hideMark/>
          </w:tcPr>
          <w:p w:rsidR="002403FF" w:rsidRPr="007A63E5" w:rsidRDefault="009E4F7F" w:rsidP="00241BD4">
            <w:pPr>
              <w:jc w:val="center"/>
              <w:rPr>
                <w:rFonts w:ascii="標楷體" w:eastAsia="標楷體" w:hAnsi="標楷體"/>
                <w:b/>
                <w:color w:val="000000" w:themeColor="text1"/>
                <w:sz w:val="28"/>
                <w:szCs w:val="28"/>
              </w:rPr>
            </w:pPr>
            <w:r w:rsidRPr="007A63E5">
              <w:rPr>
                <w:rFonts w:ascii="標楷體" w:eastAsia="標楷體" w:hAnsi="標楷體" w:hint="eastAsia"/>
                <w:b/>
                <w:color w:val="000000" w:themeColor="text1"/>
                <w:sz w:val="28"/>
                <w:szCs w:val="28"/>
              </w:rPr>
              <w:t>包含</w:t>
            </w:r>
            <w:r w:rsidR="002403FF" w:rsidRPr="007A63E5">
              <w:rPr>
                <w:rFonts w:ascii="標楷體" w:eastAsia="標楷體" w:hAnsi="標楷體" w:hint="eastAsia"/>
                <w:b/>
                <w:color w:val="000000" w:themeColor="text1"/>
                <w:sz w:val="28"/>
                <w:szCs w:val="28"/>
              </w:rPr>
              <w:t>學</w:t>
            </w:r>
            <w:r w:rsidRPr="007A63E5">
              <w:rPr>
                <w:rFonts w:ascii="標楷體" w:eastAsia="標楷體" w:hAnsi="標楷體" w:hint="eastAsia"/>
                <w:b/>
                <w:color w:val="000000" w:themeColor="text1"/>
                <w:sz w:val="28"/>
                <w:szCs w:val="28"/>
              </w:rPr>
              <w:t>科</w:t>
            </w:r>
          </w:p>
        </w:tc>
        <w:tc>
          <w:tcPr>
            <w:tcW w:w="4229" w:type="dxa"/>
            <w:tcBorders>
              <w:top w:val="single" w:sz="4" w:space="0" w:color="auto"/>
              <w:left w:val="single" w:sz="4" w:space="0" w:color="auto"/>
              <w:bottom w:val="single" w:sz="4" w:space="0" w:color="auto"/>
              <w:right w:val="single" w:sz="4" w:space="0" w:color="auto"/>
            </w:tcBorders>
          </w:tcPr>
          <w:p w:rsidR="002403FF" w:rsidRPr="007A63E5" w:rsidRDefault="002403FF" w:rsidP="00241BD4">
            <w:pPr>
              <w:jc w:val="center"/>
              <w:rPr>
                <w:rFonts w:ascii="Calibri" w:eastAsia="標楷體" w:hAnsi="Calibri"/>
                <w:b/>
                <w:color w:val="000000" w:themeColor="text1"/>
                <w:sz w:val="28"/>
                <w:szCs w:val="28"/>
              </w:rPr>
            </w:pPr>
            <w:r w:rsidRPr="007A63E5">
              <w:rPr>
                <w:rFonts w:ascii="Calibri" w:eastAsia="標楷體" w:hAnsi="Calibri" w:hint="eastAsia"/>
                <w:b/>
                <w:color w:val="000000" w:themeColor="text1"/>
                <w:sz w:val="28"/>
                <w:szCs w:val="28"/>
              </w:rPr>
              <w:t>學門研究主題涵蓋範圍</w:t>
            </w:r>
            <w:r w:rsidRPr="007A63E5">
              <w:rPr>
                <w:rFonts w:ascii="Calibri" w:eastAsia="標楷體" w:hAnsi="Calibri" w:hint="eastAsia"/>
                <w:b/>
                <w:color w:val="000000" w:themeColor="text1"/>
                <w:sz w:val="28"/>
                <w:szCs w:val="28"/>
              </w:rPr>
              <w:t>(scope)</w:t>
            </w:r>
          </w:p>
        </w:tc>
      </w:tr>
      <w:tr w:rsidR="007A63E5" w:rsidRPr="007A63E5" w:rsidTr="003C53FB">
        <w:trPr>
          <w:cantSplit/>
          <w:trHeight w:val="820"/>
          <w:jc w:val="center"/>
        </w:trPr>
        <w:tc>
          <w:tcPr>
            <w:tcW w:w="3049" w:type="dxa"/>
            <w:vMerge w:val="restart"/>
            <w:tcBorders>
              <w:top w:val="single" w:sz="4" w:space="0" w:color="auto"/>
              <w:left w:val="single" w:sz="4" w:space="0" w:color="auto"/>
              <w:right w:val="single" w:sz="4" w:space="0" w:color="auto"/>
            </w:tcBorders>
            <w:vAlign w:val="center"/>
          </w:tcPr>
          <w:p w:rsidR="002403FF" w:rsidRPr="007A63E5" w:rsidRDefault="002403FF" w:rsidP="00B82C09">
            <w:pPr>
              <w:jc w:val="center"/>
              <w:rPr>
                <w:rFonts w:ascii="Calibri" w:eastAsia="標楷體" w:hAnsi="Calibri"/>
                <w:b/>
                <w:color w:val="000000" w:themeColor="text1"/>
                <w:spacing w:val="-20"/>
                <w:sz w:val="28"/>
                <w:szCs w:val="28"/>
              </w:rPr>
            </w:pPr>
            <w:r w:rsidRPr="007A63E5">
              <w:rPr>
                <w:rFonts w:ascii="Calibri" w:eastAsia="標楷體" w:hAnsi="Calibri" w:hint="eastAsia"/>
                <w:b/>
                <w:color w:val="000000" w:themeColor="text1"/>
                <w:spacing w:val="-20"/>
                <w:sz w:val="28"/>
                <w:szCs w:val="28"/>
              </w:rPr>
              <w:t>生農環境與多樣性</w:t>
            </w:r>
          </w:p>
        </w:tc>
        <w:tc>
          <w:tcPr>
            <w:tcW w:w="36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2403FF" w:rsidRPr="007A63E5" w:rsidRDefault="002403FF" w:rsidP="00B828D0">
            <w:pPr>
              <w:spacing w:line="240" w:lineRule="exact"/>
              <w:jc w:val="both"/>
              <w:rPr>
                <w:rFonts w:ascii="標楷體" w:eastAsia="標楷體" w:hAnsi="標楷體"/>
                <w:color w:val="000000" w:themeColor="text1"/>
                <w:sz w:val="26"/>
                <w:szCs w:val="26"/>
              </w:rPr>
            </w:pPr>
            <w:r w:rsidRPr="007A63E5">
              <w:rPr>
                <w:rFonts w:ascii="標楷體" w:eastAsia="標楷體" w:hAnsi="標楷體" w:hint="eastAsia"/>
                <w:color w:val="000000" w:themeColor="text1"/>
                <w:sz w:val="26"/>
                <w:szCs w:val="26"/>
              </w:rPr>
              <w:t>植物保護</w:t>
            </w:r>
            <w:r w:rsidR="00B828D0" w:rsidRPr="007A63E5">
              <w:rPr>
                <w:rFonts w:ascii="標楷體" w:eastAsia="標楷體" w:hAnsi="標楷體" w:hint="eastAsia"/>
                <w:color w:val="000000" w:themeColor="text1"/>
                <w:sz w:val="26"/>
                <w:szCs w:val="26"/>
              </w:rPr>
              <w:t>、</w:t>
            </w:r>
            <w:r w:rsidRPr="007A63E5">
              <w:rPr>
                <w:rFonts w:ascii="標楷體" w:eastAsia="標楷體" w:hAnsi="標楷體" w:hint="eastAsia"/>
                <w:color w:val="000000" w:themeColor="text1"/>
                <w:sz w:val="26"/>
                <w:szCs w:val="26"/>
              </w:rPr>
              <w:t>土壤</w:t>
            </w:r>
            <w:r w:rsidR="00B828D0" w:rsidRPr="007A63E5">
              <w:rPr>
                <w:rFonts w:ascii="標楷體" w:eastAsia="標楷體" w:hAnsi="標楷體" w:hint="eastAsia"/>
                <w:color w:val="000000" w:themeColor="text1"/>
                <w:sz w:val="26"/>
                <w:szCs w:val="26"/>
              </w:rPr>
              <w:t>及</w:t>
            </w:r>
            <w:r w:rsidR="00513A2D" w:rsidRPr="007A63E5">
              <w:rPr>
                <w:rFonts w:ascii="標楷體" w:eastAsia="標楷體" w:hAnsi="標楷體" w:hint="eastAsia"/>
                <w:color w:val="000000" w:themeColor="text1"/>
                <w:sz w:val="26"/>
                <w:szCs w:val="26"/>
              </w:rPr>
              <w:t>環保</w:t>
            </w:r>
          </w:p>
        </w:tc>
        <w:tc>
          <w:tcPr>
            <w:tcW w:w="4229" w:type="dxa"/>
            <w:vMerge w:val="restart"/>
            <w:tcBorders>
              <w:top w:val="single" w:sz="4" w:space="0" w:color="auto"/>
              <w:left w:val="single" w:sz="4" w:space="0" w:color="auto"/>
              <w:right w:val="single" w:sz="4" w:space="0" w:color="auto"/>
            </w:tcBorders>
            <w:vAlign w:val="center"/>
          </w:tcPr>
          <w:p w:rsidR="002403FF" w:rsidRPr="007A63E5" w:rsidRDefault="002403FF" w:rsidP="00955D24">
            <w:pPr>
              <w:jc w:val="both"/>
              <w:rPr>
                <w:rFonts w:ascii="Calibri" w:eastAsia="標楷體" w:hAnsi="Calibri"/>
                <w:color w:val="000000" w:themeColor="text1"/>
              </w:rPr>
            </w:pPr>
            <w:r w:rsidRPr="007A63E5">
              <w:rPr>
                <w:rFonts w:ascii="Calibri" w:eastAsia="標楷體" w:hAnsi="Calibri" w:hint="eastAsia"/>
                <w:color w:val="000000" w:themeColor="text1"/>
              </w:rPr>
              <w:t>針對生物、農業與環境之關係的基礎與應用研究。包含農業水文、農業設施工程、生物生產工程、水土保持與防災、土壤與環境、森林學、自然資源保育、生物資材利用、生態學、演化學、分類學、棲地環境、植物醫學與病理、安全農業與病蟲害防治等。</w:t>
            </w:r>
          </w:p>
        </w:tc>
      </w:tr>
      <w:tr w:rsidR="007A63E5" w:rsidRPr="007A63E5" w:rsidTr="003C53FB">
        <w:trPr>
          <w:cantSplit/>
          <w:trHeight w:val="820"/>
          <w:jc w:val="center"/>
        </w:trPr>
        <w:tc>
          <w:tcPr>
            <w:tcW w:w="3049" w:type="dxa"/>
            <w:vMerge/>
            <w:tcBorders>
              <w:left w:val="single" w:sz="4" w:space="0" w:color="auto"/>
              <w:right w:val="single" w:sz="4" w:space="0" w:color="auto"/>
            </w:tcBorders>
            <w:vAlign w:val="center"/>
          </w:tcPr>
          <w:p w:rsidR="002403FF" w:rsidRPr="007A63E5" w:rsidRDefault="002403FF" w:rsidP="00B82C09">
            <w:pPr>
              <w:jc w:val="center"/>
              <w:rPr>
                <w:rFonts w:ascii="Calibri" w:eastAsia="標楷體" w:hAnsi="Calibri"/>
                <w:b/>
                <w:color w:val="000000" w:themeColor="text1"/>
                <w:spacing w:val="-20"/>
                <w:sz w:val="28"/>
                <w:szCs w:val="28"/>
              </w:rPr>
            </w:pPr>
          </w:p>
        </w:tc>
        <w:tc>
          <w:tcPr>
            <w:tcW w:w="36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2403FF" w:rsidRPr="007A63E5" w:rsidRDefault="002403FF" w:rsidP="00CB775E">
            <w:pPr>
              <w:spacing w:line="240" w:lineRule="exact"/>
              <w:jc w:val="both"/>
              <w:rPr>
                <w:rFonts w:ascii="標楷體" w:eastAsia="標楷體" w:hAnsi="標楷體"/>
                <w:color w:val="000000" w:themeColor="text1"/>
                <w:sz w:val="26"/>
                <w:szCs w:val="26"/>
              </w:rPr>
            </w:pPr>
            <w:r w:rsidRPr="007A63E5">
              <w:rPr>
                <w:rFonts w:ascii="標楷體" w:eastAsia="標楷體" w:hAnsi="標楷體" w:hint="eastAsia"/>
                <w:color w:val="000000" w:themeColor="text1"/>
                <w:sz w:val="26"/>
                <w:szCs w:val="26"/>
              </w:rPr>
              <w:t>森林水保及生工生機</w:t>
            </w:r>
          </w:p>
        </w:tc>
        <w:tc>
          <w:tcPr>
            <w:tcW w:w="4229" w:type="dxa"/>
            <w:vMerge/>
            <w:tcBorders>
              <w:left w:val="single" w:sz="4" w:space="0" w:color="auto"/>
              <w:right w:val="single" w:sz="4" w:space="0" w:color="auto"/>
            </w:tcBorders>
            <w:vAlign w:val="center"/>
          </w:tcPr>
          <w:p w:rsidR="002403FF" w:rsidRPr="007A63E5" w:rsidRDefault="002403FF" w:rsidP="00955D24">
            <w:pPr>
              <w:jc w:val="both"/>
              <w:rPr>
                <w:rFonts w:ascii="Calibri" w:eastAsia="標楷體" w:hAnsi="Calibri"/>
                <w:color w:val="000000" w:themeColor="text1"/>
              </w:rPr>
            </w:pPr>
          </w:p>
        </w:tc>
      </w:tr>
      <w:tr w:rsidR="007A63E5" w:rsidRPr="007A63E5" w:rsidTr="003C53FB">
        <w:trPr>
          <w:cantSplit/>
          <w:trHeight w:val="820"/>
          <w:jc w:val="center"/>
        </w:trPr>
        <w:tc>
          <w:tcPr>
            <w:tcW w:w="3049" w:type="dxa"/>
            <w:vMerge/>
            <w:tcBorders>
              <w:left w:val="single" w:sz="4" w:space="0" w:color="auto"/>
              <w:bottom w:val="single" w:sz="4" w:space="0" w:color="auto"/>
              <w:right w:val="single" w:sz="4" w:space="0" w:color="auto"/>
            </w:tcBorders>
            <w:vAlign w:val="center"/>
          </w:tcPr>
          <w:p w:rsidR="002403FF" w:rsidRPr="007A63E5" w:rsidRDefault="002403FF" w:rsidP="00B82C09">
            <w:pPr>
              <w:jc w:val="center"/>
              <w:rPr>
                <w:rFonts w:ascii="Calibri" w:eastAsia="標楷體" w:hAnsi="Calibri"/>
                <w:b/>
                <w:color w:val="000000" w:themeColor="text1"/>
                <w:spacing w:val="-20"/>
                <w:sz w:val="28"/>
                <w:szCs w:val="28"/>
              </w:rPr>
            </w:pPr>
          </w:p>
        </w:tc>
        <w:tc>
          <w:tcPr>
            <w:tcW w:w="36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2403FF" w:rsidRPr="007A63E5" w:rsidRDefault="002403FF" w:rsidP="00CB775E">
            <w:pPr>
              <w:spacing w:line="240" w:lineRule="exact"/>
              <w:jc w:val="both"/>
              <w:rPr>
                <w:rFonts w:ascii="標楷體" w:eastAsia="標楷體" w:hAnsi="標楷體"/>
                <w:color w:val="000000" w:themeColor="text1"/>
                <w:sz w:val="26"/>
                <w:szCs w:val="26"/>
              </w:rPr>
            </w:pPr>
            <w:r w:rsidRPr="007A63E5">
              <w:rPr>
                <w:rFonts w:ascii="標楷體" w:eastAsia="標楷體" w:hAnsi="標楷體" w:hint="eastAsia"/>
                <w:color w:val="000000" w:themeColor="text1"/>
                <w:sz w:val="26"/>
                <w:szCs w:val="26"/>
              </w:rPr>
              <w:t>生物多樣性</w:t>
            </w:r>
          </w:p>
        </w:tc>
        <w:tc>
          <w:tcPr>
            <w:tcW w:w="4229" w:type="dxa"/>
            <w:vMerge/>
            <w:tcBorders>
              <w:left w:val="single" w:sz="4" w:space="0" w:color="auto"/>
              <w:bottom w:val="single" w:sz="4" w:space="0" w:color="auto"/>
              <w:right w:val="single" w:sz="4" w:space="0" w:color="auto"/>
            </w:tcBorders>
            <w:vAlign w:val="center"/>
          </w:tcPr>
          <w:p w:rsidR="002403FF" w:rsidRPr="007A63E5" w:rsidRDefault="002403FF" w:rsidP="00955D24">
            <w:pPr>
              <w:jc w:val="both"/>
              <w:rPr>
                <w:rFonts w:ascii="Calibri" w:eastAsia="標楷體" w:hAnsi="Calibri"/>
                <w:color w:val="000000" w:themeColor="text1"/>
              </w:rPr>
            </w:pPr>
          </w:p>
        </w:tc>
      </w:tr>
      <w:tr w:rsidR="007A63E5" w:rsidRPr="007A63E5" w:rsidTr="003C53FB">
        <w:trPr>
          <w:cantSplit/>
          <w:trHeight w:val="885"/>
          <w:jc w:val="center"/>
        </w:trPr>
        <w:tc>
          <w:tcPr>
            <w:tcW w:w="3049" w:type="dxa"/>
            <w:vMerge w:val="restart"/>
            <w:tcBorders>
              <w:top w:val="single" w:sz="4" w:space="0" w:color="auto"/>
              <w:left w:val="single" w:sz="4" w:space="0" w:color="auto"/>
              <w:right w:val="single" w:sz="4" w:space="0" w:color="auto"/>
            </w:tcBorders>
            <w:vAlign w:val="center"/>
          </w:tcPr>
          <w:p w:rsidR="002403FF" w:rsidRPr="007A63E5" w:rsidRDefault="002403FF" w:rsidP="00B82C09">
            <w:pPr>
              <w:jc w:val="center"/>
              <w:rPr>
                <w:rFonts w:ascii="Calibri" w:eastAsia="標楷體" w:hAnsi="Calibri"/>
                <w:b/>
                <w:color w:val="000000" w:themeColor="text1"/>
                <w:spacing w:val="-20"/>
                <w:sz w:val="28"/>
                <w:szCs w:val="28"/>
              </w:rPr>
            </w:pPr>
            <w:r w:rsidRPr="007A63E5">
              <w:rPr>
                <w:rFonts w:ascii="Calibri" w:eastAsia="標楷體" w:hAnsi="Calibri" w:hint="eastAsia"/>
                <w:b/>
                <w:color w:val="000000" w:themeColor="text1"/>
                <w:spacing w:val="-20"/>
                <w:sz w:val="28"/>
                <w:szCs w:val="28"/>
              </w:rPr>
              <w:t>農產資源科學</w:t>
            </w:r>
          </w:p>
        </w:tc>
        <w:tc>
          <w:tcPr>
            <w:tcW w:w="36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2403FF" w:rsidRPr="007A63E5" w:rsidRDefault="002403FF" w:rsidP="00CB775E">
            <w:pPr>
              <w:spacing w:line="240" w:lineRule="exact"/>
              <w:jc w:val="both"/>
              <w:rPr>
                <w:rFonts w:ascii="標楷體" w:eastAsia="標楷體" w:hAnsi="標楷體"/>
                <w:color w:val="000000" w:themeColor="text1"/>
                <w:sz w:val="26"/>
                <w:szCs w:val="26"/>
              </w:rPr>
            </w:pPr>
            <w:r w:rsidRPr="007A63E5">
              <w:rPr>
                <w:rFonts w:ascii="標楷體" w:eastAsia="標楷體" w:hAnsi="標楷體" w:hint="eastAsia"/>
                <w:color w:val="000000" w:themeColor="text1"/>
                <w:spacing w:val="-20"/>
                <w:kern w:val="16"/>
                <w:sz w:val="26"/>
                <w:szCs w:val="26"/>
              </w:rPr>
              <w:t>農藝、園藝及農化</w:t>
            </w:r>
          </w:p>
        </w:tc>
        <w:tc>
          <w:tcPr>
            <w:tcW w:w="4229" w:type="dxa"/>
            <w:vMerge w:val="restart"/>
            <w:tcBorders>
              <w:top w:val="single" w:sz="4" w:space="0" w:color="auto"/>
              <w:left w:val="single" w:sz="4" w:space="0" w:color="auto"/>
              <w:right w:val="single" w:sz="4" w:space="0" w:color="auto"/>
            </w:tcBorders>
            <w:vAlign w:val="center"/>
          </w:tcPr>
          <w:p w:rsidR="002403FF" w:rsidRPr="007A63E5" w:rsidRDefault="002403FF" w:rsidP="00955D24">
            <w:pPr>
              <w:jc w:val="both"/>
              <w:rPr>
                <w:rFonts w:ascii="標楷體" w:eastAsia="標楷體" w:hAnsi="標楷體" w:cs="新細明體"/>
                <w:color w:val="000000" w:themeColor="text1"/>
                <w:kern w:val="0"/>
              </w:rPr>
            </w:pPr>
            <w:r w:rsidRPr="007A63E5">
              <w:rPr>
                <w:rFonts w:ascii="標楷體" w:eastAsia="標楷體" w:hAnsi="標楷體" w:cs="新細明體" w:hint="eastAsia"/>
                <w:color w:val="000000" w:themeColor="text1"/>
                <w:kern w:val="0"/>
              </w:rPr>
              <w:t>針對非人類之生物，增進其應用之研究。涵蓋農化、農藝、園藝、林業、漁業、畜牧、獸醫及實驗動物等學科。專注於農產品相關研究，以提高農產品質或量、提升其利用或附加價值為目的之研發。</w:t>
            </w:r>
          </w:p>
          <w:p w:rsidR="003C53FB" w:rsidRPr="007A63E5" w:rsidRDefault="003C53FB" w:rsidP="00955D24">
            <w:pPr>
              <w:jc w:val="both"/>
              <w:rPr>
                <w:rFonts w:ascii="Calibri" w:eastAsia="標楷體" w:hAnsi="Calibri"/>
                <w:color w:val="000000" w:themeColor="text1"/>
              </w:rPr>
            </w:pPr>
          </w:p>
        </w:tc>
      </w:tr>
      <w:tr w:rsidR="007A63E5" w:rsidRPr="007A63E5" w:rsidTr="003C53FB">
        <w:trPr>
          <w:cantSplit/>
          <w:trHeight w:val="885"/>
          <w:jc w:val="center"/>
        </w:trPr>
        <w:tc>
          <w:tcPr>
            <w:tcW w:w="3049" w:type="dxa"/>
            <w:vMerge/>
            <w:tcBorders>
              <w:left w:val="single" w:sz="4" w:space="0" w:color="auto"/>
              <w:bottom w:val="single" w:sz="4" w:space="0" w:color="auto"/>
              <w:right w:val="single" w:sz="4" w:space="0" w:color="auto"/>
            </w:tcBorders>
            <w:vAlign w:val="center"/>
          </w:tcPr>
          <w:p w:rsidR="002403FF" w:rsidRPr="007A63E5" w:rsidRDefault="002403FF" w:rsidP="00B82C09">
            <w:pPr>
              <w:jc w:val="center"/>
              <w:rPr>
                <w:rFonts w:ascii="Calibri" w:eastAsia="標楷體" w:hAnsi="Calibri"/>
                <w:b/>
                <w:color w:val="000000" w:themeColor="text1"/>
                <w:spacing w:val="-20"/>
                <w:sz w:val="28"/>
                <w:szCs w:val="28"/>
              </w:rPr>
            </w:pPr>
          </w:p>
        </w:tc>
        <w:tc>
          <w:tcPr>
            <w:tcW w:w="36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2403FF" w:rsidRPr="007A63E5" w:rsidRDefault="002403FF" w:rsidP="00CB775E">
            <w:pPr>
              <w:spacing w:line="240" w:lineRule="exact"/>
              <w:jc w:val="both"/>
              <w:rPr>
                <w:rFonts w:ascii="標楷體" w:eastAsia="標楷體" w:hAnsi="標楷體"/>
                <w:color w:val="000000" w:themeColor="text1"/>
                <w:sz w:val="26"/>
                <w:szCs w:val="26"/>
              </w:rPr>
            </w:pPr>
            <w:r w:rsidRPr="007A63E5">
              <w:rPr>
                <w:rFonts w:ascii="標楷體" w:eastAsia="標楷體" w:hAnsi="標楷體" w:hint="eastAsia"/>
                <w:color w:val="000000" w:themeColor="text1"/>
                <w:spacing w:val="-20"/>
                <w:kern w:val="16"/>
                <w:sz w:val="26"/>
                <w:szCs w:val="26"/>
              </w:rPr>
              <w:t>漁業、水產、畜牧、獸醫及實驗動物</w:t>
            </w:r>
          </w:p>
        </w:tc>
        <w:tc>
          <w:tcPr>
            <w:tcW w:w="4229" w:type="dxa"/>
            <w:vMerge/>
            <w:tcBorders>
              <w:left w:val="single" w:sz="4" w:space="0" w:color="auto"/>
              <w:bottom w:val="single" w:sz="4" w:space="0" w:color="auto"/>
              <w:right w:val="single" w:sz="4" w:space="0" w:color="auto"/>
            </w:tcBorders>
            <w:vAlign w:val="center"/>
          </w:tcPr>
          <w:p w:rsidR="002403FF" w:rsidRPr="007A63E5" w:rsidRDefault="002403FF" w:rsidP="00955D24">
            <w:pPr>
              <w:jc w:val="both"/>
              <w:rPr>
                <w:rFonts w:ascii="Calibri" w:eastAsia="標楷體" w:hAnsi="Calibri"/>
                <w:color w:val="000000" w:themeColor="text1"/>
              </w:rPr>
            </w:pPr>
          </w:p>
        </w:tc>
      </w:tr>
      <w:tr w:rsidR="007A63E5" w:rsidRPr="007A63E5" w:rsidTr="003C53FB">
        <w:trPr>
          <w:cantSplit/>
          <w:trHeight w:val="1065"/>
          <w:jc w:val="center"/>
        </w:trPr>
        <w:tc>
          <w:tcPr>
            <w:tcW w:w="3049" w:type="dxa"/>
            <w:vMerge w:val="restart"/>
            <w:tcBorders>
              <w:top w:val="single" w:sz="4" w:space="0" w:color="auto"/>
              <w:left w:val="single" w:sz="4" w:space="0" w:color="auto"/>
              <w:right w:val="single" w:sz="4" w:space="0" w:color="auto"/>
            </w:tcBorders>
            <w:vAlign w:val="center"/>
          </w:tcPr>
          <w:p w:rsidR="002403FF" w:rsidRPr="007A63E5" w:rsidRDefault="002403FF" w:rsidP="00B82C09">
            <w:pPr>
              <w:jc w:val="center"/>
              <w:rPr>
                <w:rFonts w:ascii="Calibri" w:eastAsia="標楷體" w:hAnsi="Calibri"/>
                <w:b/>
                <w:color w:val="000000" w:themeColor="text1"/>
                <w:spacing w:val="-20"/>
                <w:sz w:val="28"/>
                <w:szCs w:val="28"/>
              </w:rPr>
            </w:pPr>
            <w:r w:rsidRPr="007A63E5">
              <w:rPr>
                <w:rFonts w:ascii="Calibri" w:eastAsia="標楷體" w:hAnsi="Calibri" w:hint="eastAsia"/>
                <w:b/>
                <w:color w:val="000000" w:themeColor="text1"/>
                <w:spacing w:val="-20"/>
                <w:sz w:val="28"/>
                <w:szCs w:val="28"/>
              </w:rPr>
              <w:t>生物科學</w:t>
            </w:r>
          </w:p>
        </w:tc>
        <w:tc>
          <w:tcPr>
            <w:tcW w:w="36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2403FF" w:rsidRPr="007A63E5" w:rsidRDefault="002403FF" w:rsidP="00CB775E">
            <w:pPr>
              <w:spacing w:line="240" w:lineRule="exact"/>
              <w:jc w:val="both"/>
              <w:rPr>
                <w:rFonts w:ascii="標楷體" w:eastAsia="標楷體" w:hAnsi="標楷體"/>
                <w:color w:val="000000" w:themeColor="text1"/>
                <w:sz w:val="26"/>
                <w:szCs w:val="26"/>
              </w:rPr>
            </w:pPr>
            <w:r w:rsidRPr="007A63E5">
              <w:rPr>
                <w:rFonts w:ascii="標楷體" w:eastAsia="標楷體" w:hAnsi="標楷體" w:hint="eastAsia"/>
                <w:color w:val="000000" w:themeColor="text1"/>
                <w:sz w:val="26"/>
                <w:szCs w:val="26"/>
              </w:rPr>
              <w:t>基礎生物</w:t>
            </w:r>
          </w:p>
        </w:tc>
        <w:tc>
          <w:tcPr>
            <w:tcW w:w="4229" w:type="dxa"/>
            <w:vMerge w:val="restart"/>
            <w:tcBorders>
              <w:top w:val="single" w:sz="4" w:space="0" w:color="auto"/>
              <w:left w:val="single" w:sz="4" w:space="0" w:color="auto"/>
              <w:right w:val="single" w:sz="4" w:space="0" w:color="auto"/>
            </w:tcBorders>
            <w:vAlign w:val="center"/>
          </w:tcPr>
          <w:p w:rsidR="002403FF" w:rsidRPr="007A63E5" w:rsidRDefault="002403FF" w:rsidP="00955D24">
            <w:pPr>
              <w:jc w:val="both"/>
              <w:rPr>
                <w:rFonts w:ascii="標楷體" w:eastAsia="標楷體" w:hAnsi="標楷體"/>
                <w:color w:val="000000" w:themeColor="text1"/>
              </w:rPr>
            </w:pPr>
            <w:r w:rsidRPr="007A63E5">
              <w:rPr>
                <w:rFonts w:ascii="標楷體" w:eastAsia="標楷體" w:hAnsi="標楷體" w:hint="eastAsia"/>
                <w:color w:val="000000" w:themeColor="text1"/>
              </w:rPr>
              <w:t>非以應用為主要目的之生物學研究，涵蓋內容由生命最基本的分子、有機物、胞器、基因、遺傳、細胞、器官、個體、族群、生物社會等相關領域，並延伸至各專門領域，包括細胞學、遺傳學、動物學、植物學以及仿生學等。</w:t>
            </w:r>
          </w:p>
          <w:p w:rsidR="003C53FB" w:rsidRPr="007A63E5" w:rsidRDefault="003C53FB" w:rsidP="00955D24">
            <w:pPr>
              <w:jc w:val="both"/>
              <w:rPr>
                <w:rFonts w:ascii="Calibri" w:eastAsia="標楷體" w:hAnsi="Calibri"/>
                <w:color w:val="000000" w:themeColor="text1"/>
              </w:rPr>
            </w:pPr>
          </w:p>
        </w:tc>
      </w:tr>
      <w:tr w:rsidR="007A63E5" w:rsidRPr="007A63E5" w:rsidTr="003C53FB">
        <w:trPr>
          <w:cantSplit/>
          <w:trHeight w:val="1065"/>
          <w:jc w:val="center"/>
        </w:trPr>
        <w:tc>
          <w:tcPr>
            <w:tcW w:w="3049" w:type="dxa"/>
            <w:vMerge/>
            <w:tcBorders>
              <w:left w:val="single" w:sz="4" w:space="0" w:color="auto"/>
              <w:bottom w:val="single" w:sz="4" w:space="0" w:color="auto"/>
              <w:right w:val="single" w:sz="4" w:space="0" w:color="auto"/>
            </w:tcBorders>
            <w:vAlign w:val="center"/>
          </w:tcPr>
          <w:p w:rsidR="002403FF" w:rsidRPr="007A63E5" w:rsidRDefault="002403FF" w:rsidP="00B82C09">
            <w:pPr>
              <w:jc w:val="center"/>
              <w:rPr>
                <w:rFonts w:ascii="Calibri" w:eastAsia="標楷體" w:hAnsi="Calibri"/>
                <w:b/>
                <w:color w:val="000000" w:themeColor="text1"/>
                <w:spacing w:val="-20"/>
                <w:sz w:val="28"/>
                <w:szCs w:val="28"/>
              </w:rPr>
            </w:pPr>
          </w:p>
        </w:tc>
        <w:tc>
          <w:tcPr>
            <w:tcW w:w="36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2403FF" w:rsidRPr="007A63E5" w:rsidRDefault="002403FF" w:rsidP="00CB775E">
            <w:pPr>
              <w:spacing w:line="240" w:lineRule="exact"/>
              <w:jc w:val="both"/>
              <w:rPr>
                <w:rFonts w:ascii="標楷體" w:eastAsia="標楷體" w:hAnsi="標楷體"/>
                <w:color w:val="000000" w:themeColor="text1"/>
                <w:sz w:val="26"/>
                <w:szCs w:val="26"/>
              </w:rPr>
            </w:pPr>
            <w:r w:rsidRPr="007A63E5">
              <w:rPr>
                <w:rFonts w:ascii="標楷體" w:eastAsia="標楷體" w:hAnsi="標楷體" w:hint="eastAsia"/>
                <w:color w:val="000000" w:themeColor="text1"/>
                <w:sz w:val="26"/>
                <w:szCs w:val="26"/>
              </w:rPr>
              <w:t>生物化學及分子生物</w:t>
            </w:r>
          </w:p>
        </w:tc>
        <w:tc>
          <w:tcPr>
            <w:tcW w:w="4229" w:type="dxa"/>
            <w:vMerge/>
            <w:tcBorders>
              <w:left w:val="single" w:sz="4" w:space="0" w:color="auto"/>
              <w:bottom w:val="single" w:sz="4" w:space="0" w:color="auto"/>
              <w:right w:val="single" w:sz="4" w:space="0" w:color="auto"/>
            </w:tcBorders>
            <w:vAlign w:val="center"/>
          </w:tcPr>
          <w:p w:rsidR="002403FF" w:rsidRPr="007A63E5" w:rsidRDefault="002403FF" w:rsidP="00955D24">
            <w:pPr>
              <w:jc w:val="both"/>
              <w:rPr>
                <w:rFonts w:ascii="標楷體" w:eastAsia="標楷體" w:hAnsi="標楷體"/>
                <w:color w:val="000000" w:themeColor="text1"/>
              </w:rPr>
            </w:pPr>
          </w:p>
        </w:tc>
      </w:tr>
      <w:tr w:rsidR="007A63E5" w:rsidRPr="007A63E5" w:rsidTr="003C53FB">
        <w:trPr>
          <w:cantSplit/>
          <w:trHeight w:val="940"/>
          <w:jc w:val="center"/>
        </w:trPr>
        <w:tc>
          <w:tcPr>
            <w:tcW w:w="3049" w:type="dxa"/>
            <w:vMerge w:val="restart"/>
            <w:tcBorders>
              <w:top w:val="single" w:sz="4" w:space="0" w:color="auto"/>
              <w:left w:val="single" w:sz="4" w:space="0" w:color="auto"/>
              <w:right w:val="single" w:sz="4" w:space="0" w:color="auto"/>
            </w:tcBorders>
            <w:vAlign w:val="center"/>
          </w:tcPr>
          <w:p w:rsidR="002403FF" w:rsidRPr="007A63E5" w:rsidRDefault="002403FF" w:rsidP="00B86278">
            <w:pPr>
              <w:jc w:val="center"/>
              <w:rPr>
                <w:rFonts w:ascii="Calibri" w:eastAsia="標楷體" w:hAnsi="Calibri"/>
                <w:b/>
                <w:color w:val="000000" w:themeColor="text1"/>
                <w:spacing w:val="-20"/>
                <w:sz w:val="28"/>
                <w:szCs w:val="28"/>
              </w:rPr>
            </w:pPr>
            <w:r w:rsidRPr="007A63E5">
              <w:rPr>
                <w:rFonts w:ascii="Calibri" w:eastAsia="標楷體" w:hAnsi="Calibri" w:hint="eastAsia"/>
                <w:b/>
                <w:color w:val="000000" w:themeColor="text1"/>
                <w:spacing w:val="-20"/>
                <w:sz w:val="28"/>
                <w:szCs w:val="28"/>
              </w:rPr>
              <w:t>形態</w:t>
            </w:r>
            <w:r w:rsidR="00B86278" w:rsidRPr="007A63E5">
              <w:rPr>
                <w:rFonts w:ascii="Calibri" w:eastAsia="標楷體" w:hAnsi="Calibri" w:hint="eastAsia"/>
                <w:b/>
                <w:color w:val="000000" w:themeColor="text1"/>
                <w:spacing w:val="-20"/>
                <w:sz w:val="28"/>
                <w:szCs w:val="28"/>
              </w:rPr>
              <w:t>及生理</w:t>
            </w:r>
            <w:r w:rsidRPr="007A63E5">
              <w:rPr>
                <w:rFonts w:ascii="Calibri" w:eastAsia="標楷體" w:hAnsi="Calibri" w:hint="eastAsia"/>
                <w:b/>
                <w:color w:val="000000" w:themeColor="text1"/>
                <w:spacing w:val="-20"/>
                <w:sz w:val="28"/>
                <w:szCs w:val="28"/>
              </w:rPr>
              <w:t>醫學</w:t>
            </w:r>
          </w:p>
        </w:tc>
        <w:tc>
          <w:tcPr>
            <w:tcW w:w="36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2403FF" w:rsidRPr="007A63E5" w:rsidRDefault="002403FF" w:rsidP="00CB775E">
            <w:pPr>
              <w:spacing w:line="240" w:lineRule="exact"/>
              <w:jc w:val="both"/>
              <w:rPr>
                <w:rFonts w:ascii="標楷體" w:eastAsia="標楷體" w:hAnsi="標楷體"/>
                <w:color w:val="000000" w:themeColor="text1"/>
                <w:sz w:val="26"/>
                <w:szCs w:val="26"/>
              </w:rPr>
            </w:pPr>
            <w:r w:rsidRPr="007A63E5">
              <w:rPr>
                <w:rFonts w:ascii="標楷體" w:eastAsia="標楷體" w:hAnsi="標楷體" w:hint="eastAsia"/>
                <w:color w:val="000000" w:themeColor="text1"/>
                <w:sz w:val="26"/>
                <w:szCs w:val="26"/>
              </w:rPr>
              <w:t>生理</w:t>
            </w:r>
          </w:p>
        </w:tc>
        <w:tc>
          <w:tcPr>
            <w:tcW w:w="4229" w:type="dxa"/>
            <w:vMerge w:val="restart"/>
            <w:tcBorders>
              <w:top w:val="single" w:sz="4" w:space="0" w:color="auto"/>
              <w:left w:val="single" w:sz="4" w:space="0" w:color="auto"/>
              <w:right w:val="single" w:sz="4" w:space="0" w:color="auto"/>
            </w:tcBorders>
            <w:vAlign w:val="center"/>
          </w:tcPr>
          <w:p w:rsidR="002403FF" w:rsidRPr="007A63E5" w:rsidRDefault="002403FF" w:rsidP="00955D24">
            <w:pPr>
              <w:jc w:val="both"/>
              <w:rPr>
                <w:rFonts w:ascii="標楷體" w:eastAsia="標楷體" w:hAnsi="標楷體" w:cs="新細明體"/>
                <w:color w:val="000000" w:themeColor="text1"/>
                <w:kern w:val="0"/>
              </w:rPr>
            </w:pPr>
            <w:r w:rsidRPr="007A63E5">
              <w:rPr>
                <w:rFonts w:ascii="標楷體" w:eastAsia="標楷體" w:hAnsi="標楷體" w:cs="新細明體" w:hint="eastAsia"/>
                <w:color w:val="000000" w:themeColor="text1"/>
                <w:kern w:val="0"/>
              </w:rPr>
              <w:t>探討生物體自細胞起各層次結構與功能之關係，及在生理或病理狀況下之改變與調適。範圍除涵蓋細胞生物、解剖、胚胎、組織、生理、病理、法醫等領域外，並包括細胞組織分化、變異、退化與再生，以及內、外在環境改變後從細胞到個體各層級形態功能變異與重整之基礎與臨床等相關研究領域。</w:t>
            </w:r>
          </w:p>
          <w:p w:rsidR="003C53FB" w:rsidRPr="007A63E5" w:rsidRDefault="003C53FB" w:rsidP="00955D24">
            <w:pPr>
              <w:jc w:val="both"/>
              <w:rPr>
                <w:rFonts w:ascii="Calibri" w:eastAsia="標楷體" w:hAnsi="Calibri"/>
                <w:color w:val="000000" w:themeColor="text1"/>
              </w:rPr>
            </w:pPr>
          </w:p>
        </w:tc>
      </w:tr>
      <w:tr w:rsidR="007A63E5" w:rsidRPr="007A63E5" w:rsidTr="003C53FB">
        <w:trPr>
          <w:cantSplit/>
          <w:trHeight w:val="940"/>
          <w:jc w:val="center"/>
        </w:trPr>
        <w:tc>
          <w:tcPr>
            <w:tcW w:w="3049" w:type="dxa"/>
            <w:vMerge/>
            <w:tcBorders>
              <w:left w:val="single" w:sz="4" w:space="0" w:color="auto"/>
              <w:right w:val="single" w:sz="4" w:space="0" w:color="auto"/>
            </w:tcBorders>
            <w:vAlign w:val="center"/>
          </w:tcPr>
          <w:p w:rsidR="002403FF" w:rsidRPr="007A63E5" w:rsidRDefault="002403FF" w:rsidP="00B82C09">
            <w:pPr>
              <w:jc w:val="center"/>
              <w:rPr>
                <w:rFonts w:ascii="Calibri" w:eastAsia="標楷體" w:hAnsi="Calibri"/>
                <w:b/>
                <w:color w:val="000000" w:themeColor="text1"/>
                <w:spacing w:val="-20"/>
                <w:sz w:val="28"/>
                <w:szCs w:val="28"/>
              </w:rPr>
            </w:pPr>
          </w:p>
        </w:tc>
        <w:tc>
          <w:tcPr>
            <w:tcW w:w="36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2403FF" w:rsidRPr="007A63E5" w:rsidRDefault="002403FF" w:rsidP="00CB775E">
            <w:pPr>
              <w:spacing w:line="240" w:lineRule="exact"/>
              <w:jc w:val="both"/>
              <w:rPr>
                <w:rFonts w:ascii="標楷體" w:eastAsia="標楷體" w:hAnsi="標楷體"/>
                <w:color w:val="000000" w:themeColor="text1"/>
                <w:sz w:val="26"/>
                <w:szCs w:val="26"/>
              </w:rPr>
            </w:pPr>
            <w:r w:rsidRPr="007A63E5">
              <w:rPr>
                <w:rFonts w:ascii="標楷體" w:eastAsia="標楷體" w:hAnsi="標楷體" w:hint="eastAsia"/>
                <w:color w:val="000000" w:themeColor="text1"/>
                <w:sz w:val="26"/>
                <w:szCs w:val="26"/>
              </w:rPr>
              <w:t>細胞生物及解剖</w:t>
            </w:r>
          </w:p>
        </w:tc>
        <w:tc>
          <w:tcPr>
            <w:tcW w:w="4229" w:type="dxa"/>
            <w:vMerge/>
            <w:tcBorders>
              <w:left w:val="single" w:sz="4" w:space="0" w:color="auto"/>
              <w:right w:val="single" w:sz="4" w:space="0" w:color="auto"/>
            </w:tcBorders>
            <w:vAlign w:val="center"/>
          </w:tcPr>
          <w:p w:rsidR="002403FF" w:rsidRPr="007A63E5" w:rsidRDefault="002403FF" w:rsidP="00955D24">
            <w:pPr>
              <w:jc w:val="both"/>
              <w:rPr>
                <w:rFonts w:ascii="Calibri" w:eastAsia="標楷體" w:hAnsi="Calibri"/>
                <w:color w:val="000000" w:themeColor="text1"/>
              </w:rPr>
            </w:pPr>
          </w:p>
        </w:tc>
      </w:tr>
      <w:tr w:rsidR="007A63E5" w:rsidRPr="007A63E5" w:rsidTr="003C53FB">
        <w:trPr>
          <w:cantSplit/>
          <w:trHeight w:val="940"/>
          <w:jc w:val="center"/>
        </w:trPr>
        <w:tc>
          <w:tcPr>
            <w:tcW w:w="3049" w:type="dxa"/>
            <w:vMerge/>
            <w:tcBorders>
              <w:left w:val="single" w:sz="4" w:space="0" w:color="auto"/>
              <w:bottom w:val="single" w:sz="4" w:space="0" w:color="auto"/>
              <w:right w:val="single" w:sz="4" w:space="0" w:color="auto"/>
            </w:tcBorders>
            <w:vAlign w:val="center"/>
          </w:tcPr>
          <w:p w:rsidR="002403FF" w:rsidRPr="007A63E5" w:rsidRDefault="002403FF" w:rsidP="00B82C09">
            <w:pPr>
              <w:jc w:val="center"/>
              <w:rPr>
                <w:rFonts w:ascii="Calibri" w:eastAsia="標楷體" w:hAnsi="Calibri"/>
                <w:b/>
                <w:color w:val="000000" w:themeColor="text1"/>
                <w:spacing w:val="-20"/>
                <w:sz w:val="28"/>
                <w:szCs w:val="28"/>
              </w:rPr>
            </w:pPr>
          </w:p>
        </w:tc>
        <w:tc>
          <w:tcPr>
            <w:tcW w:w="36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2403FF" w:rsidRPr="007A63E5" w:rsidRDefault="002403FF" w:rsidP="00CB775E">
            <w:pPr>
              <w:spacing w:line="240" w:lineRule="exact"/>
              <w:jc w:val="both"/>
              <w:rPr>
                <w:rFonts w:ascii="標楷體" w:eastAsia="標楷體" w:hAnsi="標楷體"/>
                <w:color w:val="000000" w:themeColor="text1"/>
                <w:sz w:val="26"/>
                <w:szCs w:val="26"/>
              </w:rPr>
            </w:pPr>
            <w:r w:rsidRPr="007A63E5">
              <w:rPr>
                <w:rFonts w:ascii="標楷體" w:eastAsia="標楷體" w:hAnsi="標楷體" w:hint="eastAsia"/>
                <w:color w:val="000000" w:themeColor="text1"/>
                <w:sz w:val="26"/>
                <w:szCs w:val="26"/>
              </w:rPr>
              <w:t>病理及法醫</w:t>
            </w:r>
          </w:p>
        </w:tc>
        <w:tc>
          <w:tcPr>
            <w:tcW w:w="4229" w:type="dxa"/>
            <w:vMerge/>
            <w:tcBorders>
              <w:left w:val="single" w:sz="4" w:space="0" w:color="auto"/>
              <w:bottom w:val="single" w:sz="4" w:space="0" w:color="auto"/>
              <w:right w:val="single" w:sz="4" w:space="0" w:color="auto"/>
            </w:tcBorders>
            <w:vAlign w:val="center"/>
          </w:tcPr>
          <w:p w:rsidR="002403FF" w:rsidRPr="007A63E5" w:rsidRDefault="002403FF" w:rsidP="00955D24">
            <w:pPr>
              <w:jc w:val="both"/>
              <w:rPr>
                <w:rFonts w:ascii="Calibri" w:eastAsia="標楷體" w:hAnsi="Calibri"/>
                <w:color w:val="000000" w:themeColor="text1"/>
              </w:rPr>
            </w:pPr>
          </w:p>
        </w:tc>
      </w:tr>
      <w:tr w:rsidR="007A63E5" w:rsidRPr="007A63E5" w:rsidTr="003C53FB">
        <w:trPr>
          <w:cantSplit/>
          <w:trHeight w:val="1605"/>
          <w:jc w:val="center"/>
        </w:trPr>
        <w:tc>
          <w:tcPr>
            <w:tcW w:w="3049" w:type="dxa"/>
            <w:vMerge w:val="restart"/>
            <w:tcBorders>
              <w:top w:val="single" w:sz="4" w:space="0" w:color="auto"/>
              <w:left w:val="single" w:sz="4" w:space="0" w:color="auto"/>
              <w:right w:val="single" w:sz="4" w:space="0" w:color="auto"/>
            </w:tcBorders>
            <w:vAlign w:val="center"/>
          </w:tcPr>
          <w:p w:rsidR="002403FF" w:rsidRPr="007A63E5" w:rsidRDefault="002403FF" w:rsidP="00B82C09">
            <w:pPr>
              <w:jc w:val="center"/>
              <w:rPr>
                <w:rFonts w:ascii="Calibri" w:eastAsia="標楷體" w:hAnsi="Calibri"/>
                <w:b/>
                <w:color w:val="000000" w:themeColor="text1"/>
                <w:spacing w:val="-20"/>
                <w:sz w:val="28"/>
                <w:szCs w:val="28"/>
              </w:rPr>
            </w:pPr>
            <w:r w:rsidRPr="007A63E5">
              <w:rPr>
                <w:rFonts w:ascii="Calibri" w:eastAsia="標楷體" w:hAnsi="Calibri" w:hint="eastAsia"/>
                <w:b/>
                <w:color w:val="000000" w:themeColor="text1"/>
                <w:spacing w:val="-20"/>
                <w:sz w:val="28"/>
                <w:szCs w:val="28"/>
              </w:rPr>
              <w:t>生化及藥理醫學</w:t>
            </w:r>
          </w:p>
        </w:tc>
        <w:tc>
          <w:tcPr>
            <w:tcW w:w="36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2403FF" w:rsidRPr="007A63E5" w:rsidRDefault="002403FF" w:rsidP="00CB775E">
            <w:pPr>
              <w:spacing w:line="240" w:lineRule="exact"/>
              <w:jc w:val="both"/>
              <w:rPr>
                <w:rFonts w:ascii="標楷體" w:eastAsia="標楷體" w:hAnsi="標楷體"/>
                <w:color w:val="000000" w:themeColor="text1"/>
                <w:sz w:val="26"/>
                <w:szCs w:val="26"/>
              </w:rPr>
            </w:pPr>
            <w:r w:rsidRPr="007A63E5">
              <w:rPr>
                <w:rFonts w:ascii="標楷體" w:eastAsia="標楷體" w:hAnsi="標楷體" w:hint="eastAsia"/>
                <w:color w:val="000000" w:themeColor="text1"/>
                <w:sz w:val="26"/>
                <w:szCs w:val="26"/>
              </w:rPr>
              <w:t>藥理及毒理</w:t>
            </w:r>
          </w:p>
        </w:tc>
        <w:tc>
          <w:tcPr>
            <w:tcW w:w="4229" w:type="dxa"/>
            <w:vMerge w:val="restart"/>
            <w:tcBorders>
              <w:top w:val="single" w:sz="4" w:space="0" w:color="auto"/>
              <w:left w:val="single" w:sz="4" w:space="0" w:color="auto"/>
              <w:right w:val="single" w:sz="4" w:space="0" w:color="auto"/>
            </w:tcBorders>
            <w:vAlign w:val="center"/>
          </w:tcPr>
          <w:p w:rsidR="002403FF" w:rsidRPr="007A63E5" w:rsidRDefault="002403FF" w:rsidP="006C0A1A">
            <w:pPr>
              <w:jc w:val="both"/>
              <w:rPr>
                <w:rFonts w:ascii="Calibri" w:eastAsia="標楷體" w:hAnsi="Calibri"/>
                <w:color w:val="000000" w:themeColor="text1"/>
              </w:rPr>
            </w:pPr>
            <w:r w:rsidRPr="007A63E5">
              <w:rPr>
                <w:rFonts w:ascii="標楷體" w:eastAsia="標楷體" w:hAnsi="標楷體" w:hint="eastAsia"/>
                <w:color w:val="000000" w:themeColor="text1"/>
              </w:rPr>
              <w:t>從基礎到臨床使用各種生物模型探討人類疾病的機制、預防、診斷及治療。包括有關生長與發育調控、細胞核的結構與功能、粒線體功能、細胞凋亡與老化、細胞互動與訊息傳遞、細胞運輸系統、蛋白質降解與自體吞噬系統、蛋白質結構與功能等課題。涵蓋生物化學、分子生物學、 細胞生物學、 藥理學及毒理學等領域。</w:t>
            </w:r>
          </w:p>
        </w:tc>
      </w:tr>
      <w:tr w:rsidR="007A63E5" w:rsidRPr="007A63E5" w:rsidTr="003C53FB">
        <w:trPr>
          <w:cantSplit/>
          <w:trHeight w:val="1605"/>
          <w:jc w:val="center"/>
        </w:trPr>
        <w:tc>
          <w:tcPr>
            <w:tcW w:w="3049" w:type="dxa"/>
            <w:vMerge/>
            <w:tcBorders>
              <w:left w:val="single" w:sz="4" w:space="0" w:color="auto"/>
              <w:bottom w:val="single" w:sz="4" w:space="0" w:color="auto"/>
              <w:right w:val="single" w:sz="4" w:space="0" w:color="auto"/>
            </w:tcBorders>
            <w:vAlign w:val="center"/>
          </w:tcPr>
          <w:p w:rsidR="002403FF" w:rsidRPr="007A63E5" w:rsidRDefault="002403FF" w:rsidP="00B82C09">
            <w:pPr>
              <w:jc w:val="center"/>
              <w:rPr>
                <w:rFonts w:ascii="Calibri" w:eastAsia="標楷體" w:hAnsi="Calibri"/>
                <w:b/>
                <w:color w:val="000000" w:themeColor="text1"/>
                <w:spacing w:val="-20"/>
                <w:sz w:val="28"/>
                <w:szCs w:val="28"/>
              </w:rPr>
            </w:pPr>
          </w:p>
        </w:tc>
        <w:tc>
          <w:tcPr>
            <w:tcW w:w="36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2403FF" w:rsidRPr="007A63E5" w:rsidRDefault="002403FF" w:rsidP="00CB775E">
            <w:pPr>
              <w:spacing w:line="240" w:lineRule="exact"/>
              <w:jc w:val="both"/>
              <w:rPr>
                <w:rFonts w:ascii="標楷體" w:eastAsia="標楷體" w:hAnsi="標楷體"/>
                <w:color w:val="000000" w:themeColor="text1"/>
                <w:sz w:val="26"/>
                <w:szCs w:val="26"/>
              </w:rPr>
            </w:pPr>
            <w:r w:rsidRPr="007A63E5">
              <w:rPr>
                <w:rFonts w:ascii="標楷體" w:eastAsia="標楷體" w:hAnsi="標楷體" w:hint="eastAsia"/>
                <w:color w:val="000000" w:themeColor="text1"/>
                <w:spacing w:val="-20"/>
                <w:kern w:val="16"/>
                <w:sz w:val="26"/>
                <w:szCs w:val="26"/>
              </w:rPr>
              <w:t>醫學生化及分子生物</w:t>
            </w:r>
          </w:p>
        </w:tc>
        <w:tc>
          <w:tcPr>
            <w:tcW w:w="4229" w:type="dxa"/>
            <w:vMerge/>
            <w:tcBorders>
              <w:left w:val="single" w:sz="4" w:space="0" w:color="auto"/>
              <w:bottom w:val="single" w:sz="4" w:space="0" w:color="auto"/>
              <w:right w:val="single" w:sz="4" w:space="0" w:color="auto"/>
            </w:tcBorders>
            <w:vAlign w:val="center"/>
          </w:tcPr>
          <w:p w:rsidR="002403FF" w:rsidRPr="007A63E5" w:rsidRDefault="002403FF" w:rsidP="00955D24">
            <w:pPr>
              <w:jc w:val="both"/>
              <w:rPr>
                <w:rFonts w:ascii="Calibri" w:eastAsia="標楷體" w:hAnsi="Calibri"/>
                <w:color w:val="000000" w:themeColor="text1"/>
              </w:rPr>
            </w:pPr>
          </w:p>
        </w:tc>
      </w:tr>
      <w:tr w:rsidR="007A63E5" w:rsidRPr="007A63E5" w:rsidTr="003C53FB">
        <w:trPr>
          <w:cantSplit/>
          <w:trHeight w:val="885"/>
          <w:jc w:val="center"/>
        </w:trPr>
        <w:tc>
          <w:tcPr>
            <w:tcW w:w="3049" w:type="dxa"/>
            <w:vMerge w:val="restart"/>
            <w:tcBorders>
              <w:top w:val="single" w:sz="4" w:space="0" w:color="auto"/>
              <w:left w:val="single" w:sz="4" w:space="0" w:color="auto"/>
              <w:right w:val="single" w:sz="4" w:space="0" w:color="auto"/>
            </w:tcBorders>
            <w:vAlign w:val="center"/>
          </w:tcPr>
          <w:p w:rsidR="00CF4E2A" w:rsidRPr="007A63E5" w:rsidRDefault="00CF4E2A" w:rsidP="00B82C09">
            <w:pPr>
              <w:jc w:val="center"/>
              <w:rPr>
                <w:rFonts w:ascii="Calibri" w:eastAsia="標楷體" w:hAnsi="Calibri"/>
                <w:b/>
                <w:color w:val="000000" w:themeColor="text1"/>
                <w:spacing w:val="-20"/>
                <w:sz w:val="28"/>
                <w:szCs w:val="28"/>
              </w:rPr>
            </w:pPr>
            <w:r w:rsidRPr="007A63E5">
              <w:rPr>
                <w:rFonts w:ascii="Calibri" w:eastAsia="標楷體" w:hAnsi="Calibri" w:hint="eastAsia"/>
                <w:b/>
                <w:color w:val="000000" w:themeColor="text1"/>
                <w:spacing w:val="-20"/>
                <w:sz w:val="28"/>
                <w:szCs w:val="28"/>
              </w:rPr>
              <w:lastRenderedPageBreak/>
              <w:t>微免及檢驗醫學</w:t>
            </w:r>
          </w:p>
        </w:tc>
        <w:tc>
          <w:tcPr>
            <w:tcW w:w="36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F4E2A" w:rsidRPr="007A63E5" w:rsidRDefault="00CF4E2A" w:rsidP="00CB775E">
            <w:pPr>
              <w:spacing w:line="240" w:lineRule="exact"/>
              <w:jc w:val="both"/>
              <w:rPr>
                <w:rFonts w:ascii="標楷體" w:eastAsia="標楷體" w:hAnsi="標楷體"/>
                <w:color w:val="000000" w:themeColor="text1"/>
                <w:sz w:val="26"/>
                <w:szCs w:val="26"/>
              </w:rPr>
            </w:pPr>
            <w:r w:rsidRPr="007A63E5">
              <w:rPr>
                <w:rFonts w:ascii="標楷體" w:eastAsia="標楷體" w:hAnsi="標楷體" w:hint="eastAsia"/>
                <w:color w:val="000000" w:themeColor="text1"/>
                <w:sz w:val="26"/>
                <w:szCs w:val="26"/>
              </w:rPr>
              <w:t>微生物免疫</w:t>
            </w:r>
          </w:p>
        </w:tc>
        <w:tc>
          <w:tcPr>
            <w:tcW w:w="4229" w:type="dxa"/>
            <w:vMerge w:val="restart"/>
            <w:tcBorders>
              <w:top w:val="single" w:sz="4" w:space="0" w:color="auto"/>
              <w:left w:val="single" w:sz="4" w:space="0" w:color="auto"/>
              <w:right w:val="single" w:sz="4" w:space="0" w:color="auto"/>
            </w:tcBorders>
            <w:vAlign w:val="center"/>
          </w:tcPr>
          <w:p w:rsidR="00CF4E2A" w:rsidRPr="007A63E5" w:rsidRDefault="00CF4E2A" w:rsidP="00955D24">
            <w:pPr>
              <w:jc w:val="both"/>
              <w:rPr>
                <w:rFonts w:ascii="標楷體" w:eastAsia="標楷體" w:hAnsi="標楷體"/>
                <w:color w:val="000000" w:themeColor="text1"/>
              </w:rPr>
            </w:pPr>
            <w:r w:rsidRPr="007A63E5">
              <w:rPr>
                <w:rFonts w:ascii="標楷體" w:eastAsia="標楷體" w:hAnsi="標楷體" w:hint="eastAsia"/>
                <w:color w:val="000000" w:themeColor="text1"/>
              </w:rPr>
              <w:t>從基礎研究到臨床科學，以微生物學及免疫學為方法，研究感染免疫相關疾病之分子免疫調控/過敏/發炎/防禦機制、疾病致病與抗藥性機轉、疾病診斷與治療、藥物設計與篩選、抗體與疫苗開發等領域。</w:t>
            </w:r>
          </w:p>
          <w:p w:rsidR="003C53FB" w:rsidRPr="007A63E5" w:rsidRDefault="003C53FB" w:rsidP="00955D24">
            <w:pPr>
              <w:jc w:val="both"/>
              <w:rPr>
                <w:rFonts w:ascii="Calibri" w:eastAsia="標楷體" w:hAnsi="Calibri"/>
                <w:color w:val="000000" w:themeColor="text1"/>
              </w:rPr>
            </w:pPr>
          </w:p>
        </w:tc>
      </w:tr>
      <w:tr w:rsidR="007A63E5" w:rsidRPr="007A63E5" w:rsidTr="003C53FB">
        <w:trPr>
          <w:cantSplit/>
          <w:trHeight w:val="885"/>
          <w:jc w:val="center"/>
        </w:trPr>
        <w:tc>
          <w:tcPr>
            <w:tcW w:w="3049" w:type="dxa"/>
            <w:vMerge/>
            <w:tcBorders>
              <w:left w:val="single" w:sz="4" w:space="0" w:color="auto"/>
              <w:bottom w:val="single" w:sz="4" w:space="0" w:color="auto"/>
              <w:right w:val="single" w:sz="4" w:space="0" w:color="auto"/>
            </w:tcBorders>
            <w:vAlign w:val="center"/>
          </w:tcPr>
          <w:p w:rsidR="00CF4E2A" w:rsidRPr="007A63E5" w:rsidRDefault="00CF4E2A" w:rsidP="00B82C09">
            <w:pPr>
              <w:jc w:val="center"/>
              <w:rPr>
                <w:rFonts w:ascii="Calibri" w:eastAsia="標楷體" w:hAnsi="Calibri"/>
                <w:b/>
                <w:color w:val="000000" w:themeColor="text1"/>
                <w:spacing w:val="-20"/>
                <w:sz w:val="28"/>
                <w:szCs w:val="28"/>
              </w:rPr>
            </w:pPr>
          </w:p>
        </w:tc>
        <w:tc>
          <w:tcPr>
            <w:tcW w:w="36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F4E2A" w:rsidRPr="007A63E5" w:rsidRDefault="00CF4E2A" w:rsidP="00CB775E">
            <w:pPr>
              <w:spacing w:line="240" w:lineRule="exact"/>
              <w:jc w:val="both"/>
              <w:rPr>
                <w:rFonts w:ascii="標楷體" w:eastAsia="標楷體" w:hAnsi="標楷體"/>
                <w:color w:val="000000" w:themeColor="text1"/>
                <w:sz w:val="26"/>
                <w:szCs w:val="26"/>
              </w:rPr>
            </w:pPr>
            <w:r w:rsidRPr="007A63E5">
              <w:rPr>
                <w:rFonts w:ascii="標楷體" w:eastAsia="標楷體" w:hAnsi="標楷體" w:hint="eastAsia"/>
                <w:color w:val="000000" w:themeColor="text1"/>
                <w:spacing w:val="-20"/>
                <w:kern w:val="16"/>
                <w:sz w:val="26"/>
                <w:szCs w:val="26"/>
              </w:rPr>
              <w:t>寄生蟲及醫技與實驗診斷</w:t>
            </w:r>
          </w:p>
        </w:tc>
        <w:tc>
          <w:tcPr>
            <w:tcW w:w="4229" w:type="dxa"/>
            <w:vMerge/>
            <w:tcBorders>
              <w:left w:val="single" w:sz="4" w:space="0" w:color="auto"/>
              <w:bottom w:val="single" w:sz="4" w:space="0" w:color="auto"/>
              <w:right w:val="single" w:sz="4" w:space="0" w:color="auto"/>
            </w:tcBorders>
            <w:vAlign w:val="center"/>
          </w:tcPr>
          <w:p w:rsidR="00CF4E2A" w:rsidRPr="007A63E5" w:rsidRDefault="00CF4E2A" w:rsidP="00955D24">
            <w:pPr>
              <w:jc w:val="both"/>
              <w:rPr>
                <w:rFonts w:ascii="Calibri" w:eastAsia="標楷體" w:hAnsi="Calibri"/>
                <w:color w:val="000000" w:themeColor="text1"/>
              </w:rPr>
            </w:pPr>
          </w:p>
        </w:tc>
      </w:tr>
      <w:tr w:rsidR="007A63E5" w:rsidRPr="007A63E5" w:rsidTr="003C53FB">
        <w:trPr>
          <w:cantSplit/>
          <w:trHeight w:val="1605"/>
          <w:jc w:val="center"/>
        </w:trPr>
        <w:tc>
          <w:tcPr>
            <w:tcW w:w="3049" w:type="dxa"/>
            <w:vMerge w:val="restart"/>
            <w:tcBorders>
              <w:top w:val="single" w:sz="4" w:space="0" w:color="auto"/>
              <w:left w:val="single" w:sz="4" w:space="0" w:color="auto"/>
              <w:right w:val="single" w:sz="4" w:space="0" w:color="auto"/>
            </w:tcBorders>
            <w:vAlign w:val="center"/>
          </w:tcPr>
          <w:p w:rsidR="00066433" w:rsidRPr="007A63E5" w:rsidRDefault="00066433" w:rsidP="00B82C09">
            <w:pPr>
              <w:jc w:val="center"/>
              <w:rPr>
                <w:rFonts w:ascii="Calibri" w:eastAsia="標楷體" w:hAnsi="Calibri"/>
                <w:b/>
                <w:color w:val="000000" w:themeColor="text1"/>
                <w:spacing w:val="-20"/>
                <w:sz w:val="28"/>
                <w:szCs w:val="28"/>
              </w:rPr>
            </w:pPr>
            <w:r w:rsidRPr="007A63E5">
              <w:rPr>
                <w:rFonts w:ascii="Calibri" w:eastAsia="標楷體" w:hAnsi="Calibri" w:hint="eastAsia"/>
                <w:b/>
                <w:color w:val="000000" w:themeColor="text1"/>
                <w:spacing w:val="-20"/>
                <w:sz w:val="28"/>
                <w:szCs w:val="28"/>
              </w:rPr>
              <w:t>藥學及中醫藥學</w:t>
            </w:r>
          </w:p>
        </w:tc>
        <w:tc>
          <w:tcPr>
            <w:tcW w:w="36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066433" w:rsidRPr="007A63E5" w:rsidRDefault="00066433" w:rsidP="00CB775E">
            <w:pPr>
              <w:spacing w:line="240" w:lineRule="exact"/>
              <w:jc w:val="both"/>
              <w:rPr>
                <w:rFonts w:ascii="標楷體" w:eastAsia="標楷體" w:hAnsi="標楷體"/>
                <w:color w:val="000000" w:themeColor="text1"/>
                <w:sz w:val="26"/>
                <w:szCs w:val="26"/>
              </w:rPr>
            </w:pPr>
            <w:r w:rsidRPr="007A63E5">
              <w:rPr>
                <w:rFonts w:ascii="標楷體" w:eastAsia="標楷體" w:hAnsi="標楷體" w:hint="eastAsia"/>
                <w:color w:val="000000" w:themeColor="text1"/>
                <w:sz w:val="26"/>
                <w:szCs w:val="26"/>
              </w:rPr>
              <w:t>藥學</w:t>
            </w:r>
          </w:p>
        </w:tc>
        <w:tc>
          <w:tcPr>
            <w:tcW w:w="4229" w:type="dxa"/>
            <w:vMerge w:val="restart"/>
            <w:tcBorders>
              <w:top w:val="single" w:sz="4" w:space="0" w:color="auto"/>
              <w:left w:val="single" w:sz="4" w:space="0" w:color="auto"/>
              <w:right w:val="single" w:sz="4" w:space="0" w:color="auto"/>
            </w:tcBorders>
            <w:vAlign w:val="center"/>
          </w:tcPr>
          <w:p w:rsidR="00066433" w:rsidRPr="007A63E5" w:rsidRDefault="00066433" w:rsidP="00955D24">
            <w:pPr>
              <w:jc w:val="both"/>
              <w:rPr>
                <w:rFonts w:ascii="標楷體" w:eastAsia="標楷體" w:hAnsi="標楷體"/>
                <w:color w:val="000000" w:themeColor="text1"/>
              </w:rPr>
            </w:pPr>
            <w:r w:rsidRPr="007A63E5">
              <w:rPr>
                <w:rFonts w:ascii="標楷體" w:eastAsia="標楷體" w:hAnsi="標楷體" w:hint="eastAsia"/>
                <w:color w:val="000000" w:themeColor="text1"/>
              </w:rPr>
              <w:t>本學門研究領域為轉譯與橋接藥物研究與開發，從靶點之確認到藥物註冊上市，涵蓋天然物、中草藥、藥物基因蛋白體學、藥物劑型與輸送、生物製劑等新藥探索以及臨床藥學、中醫及針灸等轉譯應用。相關領域旨在探討臨床用藥、中醫與中草藥新穎生技與藥物之研發、作用機轉與毒性及其在基礎與臨床上之相關研究。</w:t>
            </w:r>
          </w:p>
          <w:p w:rsidR="003C53FB" w:rsidRPr="007A63E5" w:rsidRDefault="003C53FB" w:rsidP="00955D24">
            <w:pPr>
              <w:jc w:val="both"/>
              <w:rPr>
                <w:rFonts w:ascii="Calibri" w:eastAsia="標楷體" w:hAnsi="Calibri"/>
                <w:color w:val="000000" w:themeColor="text1"/>
              </w:rPr>
            </w:pPr>
          </w:p>
        </w:tc>
      </w:tr>
      <w:tr w:rsidR="007A63E5" w:rsidRPr="007A63E5" w:rsidTr="003C53FB">
        <w:trPr>
          <w:cantSplit/>
          <w:trHeight w:val="1605"/>
          <w:jc w:val="center"/>
        </w:trPr>
        <w:tc>
          <w:tcPr>
            <w:tcW w:w="3049" w:type="dxa"/>
            <w:vMerge/>
            <w:tcBorders>
              <w:left w:val="single" w:sz="4" w:space="0" w:color="auto"/>
              <w:bottom w:val="single" w:sz="4" w:space="0" w:color="auto"/>
              <w:right w:val="single" w:sz="4" w:space="0" w:color="auto"/>
            </w:tcBorders>
            <w:vAlign w:val="center"/>
          </w:tcPr>
          <w:p w:rsidR="00066433" w:rsidRPr="007A63E5" w:rsidRDefault="00066433" w:rsidP="00B82C09">
            <w:pPr>
              <w:jc w:val="center"/>
              <w:rPr>
                <w:rFonts w:ascii="Calibri" w:eastAsia="標楷體" w:hAnsi="Calibri"/>
                <w:b/>
                <w:color w:val="000000" w:themeColor="text1"/>
                <w:spacing w:val="-20"/>
                <w:sz w:val="28"/>
                <w:szCs w:val="28"/>
              </w:rPr>
            </w:pPr>
          </w:p>
        </w:tc>
        <w:tc>
          <w:tcPr>
            <w:tcW w:w="36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066433" w:rsidRPr="007A63E5" w:rsidRDefault="00066433" w:rsidP="00CB775E">
            <w:pPr>
              <w:spacing w:line="240" w:lineRule="exact"/>
              <w:jc w:val="both"/>
              <w:rPr>
                <w:rFonts w:ascii="標楷體" w:eastAsia="標楷體" w:hAnsi="標楷體"/>
                <w:color w:val="000000" w:themeColor="text1"/>
                <w:sz w:val="26"/>
                <w:szCs w:val="26"/>
              </w:rPr>
            </w:pPr>
            <w:r w:rsidRPr="007A63E5">
              <w:rPr>
                <w:rFonts w:ascii="標楷體" w:eastAsia="標楷體" w:hAnsi="標楷體" w:hint="eastAsia"/>
                <w:color w:val="000000" w:themeColor="text1"/>
                <w:sz w:val="26"/>
                <w:szCs w:val="26"/>
              </w:rPr>
              <w:t>中醫藥學</w:t>
            </w:r>
          </w:p>
        </w:tc>
        <w:tc>
          <w:tcPr>
            <w:tcW w:w="4229" w:type="dxa"/>
            <w:vMerge/>
            <w:tcBorders>
              <w:left w:val="single" w:sz="4" w:space="0" w:color="auto"/>
              <w:bottom w:val="single" w:sz="4" w:space="0" w:color="auto"/>
              <w:right w:val="single" w:sz="4" w:space="0" w:color="auto"/>
            </w:tcBorders>
            <w:vAlign w:val="center"/>
          </w:tcPr>
          <w:p w:rsidR="00066433" w:rsidRPr="007A63E5" w:rsidRDefault="00066433" w:rsidP="00955D24">
            <w:pPr>
              <w:jc w:val="both"/>
              <w:rPr>
                <w:rFonts w:ascii="標楷體" w:eastAsia="標楷體" w:hAnsi="標楷體"/>
                <w:color w:val="000000" w:themeColor="text1"/>
              </w:rPr>
            </w:pPr>
          </w:p>
        </w:tc>
      </w:tr>
      <w:tr w:rsidR="007A63E5" w:rsidRPr="007A63E5" w:rsidTr="003C53FB">
        <w:trPr>
          <w:cantSplit/>
          <w:trHeight w:val="885"/>
          <w:jc w:val="center"/>
        </w:trPr>
        <w:tc>
          <w:tcPr>
            <w:tcW w:w="3049" w:type="dxa"/>
            <w:vMerge w:val="restart"/>
            <w:tcBorders>
              <w:top w:val="single" w:sz="4" w:space="0" w:color="auto"/>
              <w:left w:val="single" w:sz="4" w:space="0" w:color="auto"/>
              <w:right w:val="single" w:sz="4" w:space="0" w:color="auto"/>
            </w:tcBorders>
            <w:vAlign w:val="center"/>
          </w:tcPr>
          <w:p w:rsidR="00241BD4" w:rsidRPr="007A63E5" w:rsidRDefault="00241BD4" w:rsidP="00B82C09">
            <w:pPr>
              <w:jc w:val="center"/>
              <w:rPr>
                <w:rFonts w:ascii="Calibri" w:eastAsia="標楷體" w:hAnsi="Calibri"/>
                <w:b/>
                <w:color w:val="000000" w:themeColor="text1"/>
                <w:spacing w:val="-20"/>
                <w:sz w:val="28"/>
                <w:szCs w:val="28"/>
              </w:rPr>
            </w:pPr>
            <w:r w:rsidRPr="007A63E5">
              <w:rPr>
                <w:rFonts w:ascii="Calibri" w:eastAsia="標楷體" w:hAnsi="Calibri" w:hint="eastAsia"/>
                <w:b/>
                <w:color w:val="000000" w:themeColor="text1"/>
                <w:spacing w:val="-20"/>
                <w:sz w:val="28"/>
                <w:szCs w:val="28"/>
              </w:rPr>
              <w:t>食品與營養保健</w:t>
            </w:r>
          </w:p>
        </w:tc>
        <w:tc>
          <w:tcPr>
            <w:tcW w:w="36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241BD4" w:rsidRPr="007A63E5" w:rsidRDefault="00241BD4" w:rsidP="00CB775E">
            <w:pPr>
              <w:spacing w:line="240" w:lineRule="exact"/>
              <w:jc w:val="both"/>
              <w:rPr>
                <w:rFonts w:ascii="標楷體" w:eastAsia="標楷體" w:hAnsi="標楷體"/>
                <w:color w:val="000000" w:themeColor="text1"/>
                <w:sz w:val="26"/>
                <w:szCs w:val="26"/>
              </w:rPr>
            </w:pPr>
            <w:r w:rsidRPr="007A63E5">
              <w:rPr>
                <w:rFonts w:ascii="標楷體" w:eastAsia="標楷體" w:hAnsi="標楷體" w:hint="eastAsia"/>
                <w:color w:val="000000" w:themeColor="text1"/>
                <w:sz w:val="26"/>
                <w:szCs w:val="26"/>
              </w:rPr>
              <w:t>食品科學</w:t>
            </w:r>
          </w:p>
        </w:tc>
        <w:tc>
          <w:tcPr>
            <w:tcW w:w="4229" w:type="dxa"/>
            <w:vMerge w:val="restart"/>
            <w:tcBorders>
              <w:top w:val="single" w:sz="4" w:space="0" w:color="auto"/>
              <w:left w:val="single" w:sz="4" w:space="0" w:color="auto"/>
              <w:right w:val="single" w:sz="4" w:space="0" w:color="auto"/>
            </w:tcBorders>
            <w:vAlign w:val="center"/>
          </w:tcPr>
          <w:p w:rsidR="00241BD4" w:rsidRPr="007A63E5" w:rsidRDefault="001F312A" w:rsidP="00955D24">
            <w:pPr>
              <w:jc w:val="both"/>
              <w:rPr>
                <w:rFonts w:ascii="Calibri" w:eastAsia="標楷體" w:hAnsi="Calibri"/>
                <w:color w:val="000000" w:themeColor="text1"/>
              </w:rPr>
            </w:pPr>
            <w:r w:rsidRPr="007A63E5">
              <w:rPr>
                <w:rFonts w:ascii="Calibri" w:eastAsia="標楷體" w:hAnsi="Calibri" w:hint="eastAsia"/>
                <w:color w:val="000000" w:themeColor="text1"/>
              </w:rPr>
              <w:t>針對農產食品或其衍生食品之加工、處理、成分、風味、分析、檢驗、安全或食品微生物所進行之相關研發工作。以改善人體健康為目標，所從事有關飲食與營養方面（非藥物）之基礎與應用研發工作。</w:t>
            </w:r>
          </w:p>
          <w:p w:rsidR="003C53FB" w:rsidRPr="007A63E5" w:rsidRDefault="003C53FB" w:rsidP="00955D24">
            <w:pPr>
              <w:jc w:val="both"/>
              <w:rPr>
                <w:rFonts w:ascii="Calibri" w:eastAsia="標楷體" w:hAnsi="Calibri"/>
                <w:color w:val="000000" w:themeColor="text1"/>
              </w:rPr>
            </w:pPr>
          </w:p>
        </w:tc>
      </w:tr>
      <w:tr w:rsidR="007A63E5" w:rsidRPr="007A63E5" w:rsidTr="003C53FB">
        <w:trPr>
          <w:cantSplit/>
          <w:trHeight w:val="885"/>
          <w:jc w:val="center"/>
        </w:trPr>
        <w:tc>
          <w:tcPr>
            <w:tcW w:w="3049" w:type="dxa"/>
            <w:vMerge/>
            <w:tcBorders>
              <w:left w:val="single" w:sz="4" w:space="0" w:color="auto"/>
              <w:bottom w:val="single" w:sz="4" w:space="0" w:color="auto"/>
              <w:right w:val="single" w:sz="4" w:space="0" w:color="auto"/>
            </w:tcBorders>
            <w:vAlign w:val="center"/>
          </w:tcPr>
          <w:p w:rsidR="00241BD4" w:rsidRPr="007A63E5" w:rsidRDefault="00241BD4" w:rsidP="00B82C09">
            <w:pPr>
              <w:jc w:val="center"/>
              <w:rPr>
                <w:rFonts w:ascii="Calibri" w:eastAsia="標楷體" w:hAnsi="Calibri"/>
                <w:b/>
                <w:color w:val="000000" w:themeColor="text1"/>
                <w:spacing w:val="-20"/>
                <w:sz w:val="28"/>
                <w:szCs w:val="28"/>
              </w:rPr>
            </w:pPr>
          </w:p>
        </w:tc>
        <w:tc>
          <w:tcPr>
            <w:tcW w:w="36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241BD4" w:rsidRPr="007A63E5" w:rsidRDefault="003F1F45" w:rsidP="003F1F45">
            <w:pPr>
              <w:spacing w:line="240" w:lineRule="exact"/>
              <w:jc w:val="both"/>
              <w:rPr>
                <w:rFonts w:ascii="標楷體" w:eastAsia="標楷體" w:hAnsi="標楷體"/>
                <w:color w:val="000000" w:themeColor="text1"/>
                <w:sz w:val="26"/>
                <w:szCs w:val="26"/>
              </w:rPr>
            </w:pPr>
            <w:r w:rsidRPr="007A63E5">
              <w:rPr>
                <w:rFonts w:ascii="標楷體" w:eastAsia="標楷體" w:hAnsi="標楷體" w:hint="eastAsia"/>
                <w:color w:val="000000" w:themeColor="text1"/>
                <w:sz w:val="26"/>
                <w:szCs w:val="26"/>
              </w:rPr>
              <w:t>營養</w:t>
            </w:r>
            <w:r w:rsidR="00241BD4" w:rsidRPr="007A63E5">
              <w:rPr>
                <w:rFonts w:ascii="標楷體" w:eastAsia="標楷體" w:hAnsi="標楷體" w:hint="eastAsia"/>
                <w:color w:val="000000" w:themeColor="text1"/>
                <w:sz w:val="26"/>
                <w:szCs w:val="26"/>
              </w:rPr>
              <w:t>保健</w:t>
            </w:r>
          </w:p>
        </w:tc>
        <w:tc>
          <w:tcPr>
            <w:tcW w:w="4229" w:type="dxa"/>
            <w:vMerge/>
            <w:tcBorders>
              <w:left w:val="single" w:sz="4" w:space="0" w:color="auto"/>
              <w:bottom w:val="single" w:sz="4" w:space="0" w:color="auto"/>
              <w:right w:val="single" w:sz="4" w:space="0" w:color="auto"/>
            </w:tcBorders>
            <w:vAlign w:val="center"/>
          </w:tcPr>
          <w:p w:rsidR="00241BD4" w:rsidRPr="007A63E5" w:rsidRDefault="00241BD4" w:rsidP="00955D24">
            <w:pPr>
              <w:jc w:val="both"/>
              <w:rPr>
                <w:rFonts w:ascii="標楷體" w:eastAsia="標楷體" w:hAnsi="標楷體" w:cs="新細明體"/>
                <w:color w:val="000000" w:themeColor="text1"/>
                <w:kern w:val="0"/>
              </w:rPr>
            </w:pPr>
          </w:p>
        </w:tc>
      </w:tr>
      <w:tr w:rsidR="007A63E5" w:rsidRPr="007A63E5" w:rsidTr="003C53FB">
        <w:trPr>
          <w:cantSplit/>
          <w:trHeight w:val="720"/>
          <w:jc w:val="center"/>
        </w:trPr>
        <w:tc>
          <w:tcPr>
            <w:tcW w:w="3049" w:type="dxa"/>
            <w:vMerge w:val="restart"/>
            <w:tcBorders>
              <w:top w:val="single" w:sz="4" w:space="0" w:color="auto"/>
              <w:left w:val="single" w:sz="4" w:space="0" w:color="auto"/>
              <w:right w:val="single" w:sz="4" w:space="0" w:color="auto"/>
            </w:tcBorders>
            <w:vAlign w:val="center"/>
          </w:tcPr>
          <w:p w:rsidR="00EC328F" w:rsidRPr="007A63E5" w:rsidRDefault="00EC328F" w:rsidP="00B82C09">
            <w:pPr>
              <w:jc w:val="center"/>
              <w:rPr>
                <w:rFonts w:ascii="Calibri" w:eastAsia="標楷體" w:hAnsi="Calibri"/>
                <w:b/>
                <w:color w:val="000000" w:themeColor="text1"/>
                <w:spacing w:val="-20"/>
                <w:sz w:val="28"/>
                <w:szCs w:val="28"/>
              </w:rPr>
            </w:pPr>
            <w:r w:rsidRPr="007A63E5">
              <w:rPr>
                <w:rFonts w:ascii="Calibri" w:eastAsia="標楷體" w:hAnsi="Calibri" w:hint="eastAsia"/>
                <w:b/>
                <w:color w:val="000000" w:themeColor="text1"/>
                <w:spacing w:val="-20"/>
                <w:sz w:val="28"/>
                <w:szCs w:val="28"/>
              </w:rPr>
              <w:t>社會醫學</w:t>
            </w:r>
          </w:p>
        </w:tc>
        <w:tc>
          <w:tcPr>
            <w:tcW w:w="36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C328F" w:rsidRPr="007A63E5" w:rsidRDefault="00EC328F" w:rsidP="00CB775E">
            <w:pPr>
              <w:spacing w:line="240" w:lineRule="exact"/>
              <w:jc w:val="both"/>
              <w:rPr>
                <w:rFonts w:ascii="標楷體" w:eastAsia="標楷體" w:hAnsi="標楷體"/>
                <w:color w:val="000000" w:themeColor="text1"/>
                <w:sz w:val="26"/>
                <w:szCs w:val="26"/>
              </w:rPr>
            </w:pPr>
            <w:r w:rsidRPr="007A63E5">
              <w:rPr>
                <w:rFonts w:ascii="標楷體" w:eastAsia="標楷體" w:hAnsi="標楷體" w:hint="eastAsia"/>
                <w:color w:val="000000" w:themeColor="text1"/>
                <w:sz w:val="26"/>
                <w:szCs w:val="26"/>
              </w:rPr>
              <w:t>公衛及環境醫學</w:t>
            </w:r>
          </w:p>
        </w:tc>
        <w:tc>
          <w:tcPr>
            <w:tcW w:w="4229" w:type="dxa"/>
            <w:vMerge w:val="restart"/>
            <w:tcBorders>
              <w:top w:val="single" w:sz="4" w:space="0" w:color="auto"/>
              <w:left w:val="single" w:sz="4" w:space="0" w:color="auto"/>
              <w:right w:val="single" w:sz="4" w:space="0" w:color="auto"/>
            </w:tcBorders>
            <w:vAlign w:val="center"/>
          </w:tcPr>
          <w:p w:rsidR="00EC328F" w:rsidRPr="007A63E5" w:rsidRDefault="00EC328F" w:rsidP="00955D24">
            <w:pPr>
              <w:jc w:val="both"/>
              <w:rPr>
                <w:rFonts w:ascii="Calibri" w:eastAsia="標楷體" w:hAnsi="Calibri"/>
                <w:color w:val="000000" w:themeColor="text1"/>
              </w:rPr>
            </w:pPr>
            <w:r w:rsidRPr="007A63E5">
              <w:rPr>
                <w:rFonts w:ascii="標楷體" w:eastAsia="標楷體" w:hAnsi="標楷體" w:cs="新細明體" w:hint="eastAsia"/>
                <w:color w:val="000000" w:themeColor="text1"/>
                <w:kern w:val="0"/>
              </w:rPr>
              <w:t>涵蓋衛生健康政策或學理研究、流行病學、公共衛生、健康照護等領域之研究。包括公共衛生、精神醫學、高齡醫學與家庭醫學、護理、心理衛生、口腔衛生等學科之研究。</w:t>
            </w:r>
          </w:p>
        </w:tc>
      </w:tr>
      <w:tr w:rsidR="007A63E5" w:rsidRPr="007A63E5" w:rsidTr="003C53FB">
        <w:trPr>
          <w:cantSplit/>
          <w:trHeight w:val="720"/>
          <w:jc w:val="center"/>
        </w:trPr>
        <w:tc>
          <w:tcPr>
            <w:tcW w:w="3049" w:type="dxa"/>
            <w:vMerge/>
            <w:tcBorders>
              <w:left w:val="single" w:sz="4" w:space="0" w:color="auto"/>
              <w:right w:val="single" w:sz="4" w:space="0" w:color="auto"/>
            </w:tcBorders>
            <w:vAlign w:val="center"/>
          </w:tcPr>
          <w:p w:rsidR="00EC328F" w:rsidRPr="007A63E5" w:rsidRDefault="00EC328F" w:rsidP="00B82C09">
            <w:pPr>
              <w:jc w:val="center"/>
              <w:rPr>
                <w:rFonts w:ascii="Calibri" w:eastAsia="標楷體" w:hAnsi="Calibri"/>
                <w:b/>
                <w:color w:val="000000" w:themeColor="text1"/>
                <w:spacing w:val="-20"/>
                <w:sz w:val="28"/>
                <w:szCs w:val="28"/>
              </w:rPr>
            </w:pPr>
          </w:p>
        </w:tc>
        <w:tc>
          <w:tcPr>
            <w:tcW w:w="36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C328F" w:rsidRPr="007A63E5" w:rsidRDefault="00EC328F" w:rsidP="00CB775E">
            <w:pPr>
              <w:spacing w:line="240" w:lineRule="exact"/>
              <w:jc w:val="both"/>
              <w:rPr>
                <w:rFonts w:ascii="標楷體" w:eastAsia="標楷體" w:hAnsi="標楷體"/>
                <w:color w:val="000000" w:themeColor="text1"/>
                <w:sz w:val="26"/>
                <w:szCs w:val="26"/>
              </w:rPr>
            </w:pPr>
            <w:r w:rsidRPr="007A63E5">
              <w:rPr>
                <w:rFonts w:ascii="標楷體" w:eastAsia="標楷體" w:hAnsi="標楷體" w:hint="eastAsia"/>
                <w:color w:val="000000" w:themeColor="text1"/>
                <w:sz w:val="26"/>
                <w:szCs w:val="26"/>
              </w:rPr>
              <w:t>精神醫學</w:t>
            </w:r>
            <w:r w:rsidR="00D13259" w:rsidRPr="007A63E5">
              <w:rPr>
                <w:rFonts w:ascii="標楷體" w:eastAsia="標楷體" w:hAnsi="標楷體" w:hint="eastAsia"/>
                <w:color w:val="000000" w:themeColor="text1"/>
                <w:sz w:val="26"/>
                <w:szCs w:val="26"/>
              </w:rPr>
              <w:t>、老人醫學及家庭醫學</w:t>
            </w:r>
          </w:p>
        </w:tc>
        <w:tc>
          <w:tcPr>
            <w:tcW w:w="4229" w:type="dxa"/>
            <w:vMerge/>
            <w:tcBorders>
              <w:left w:val="single" w:sz="4" w:space="0" w:color="auto"/>
              <w:right w:val="single" w:sz="4" w:space="0" w:color="auto"/>
            </w:tcBorders>
            <w:vAlign w:val="center"/>
          </w:tcPr>
          <w:p w:rsidR="00EC328F" w:rsidRPr="007A63E5" w:rsidRDefault="00EC328F" w:rsidP="00955D24">
            <w:pPr>
              <w:jc w:val="both"/>
              <w:rPr>
                <w:rFonts w:ascii="標楷體" w:eastAsia="標楷體" w:hAnsi="標楷體" w:cs="新細明體"/>
                <w:color w:val="000000" w:themeColor="text1"/>
                <w:kern w:val="0"/>
              </w:rPr>
            </w:pPr>
          </w:p>
        </w:tc>
      </w:tr>
      <w:tr w:rsidR="007A63E5" w:rsidRPr="007A63E5" w:rsidTr="003C53FB">
        <w:trPr>
          <w:cantSplit/>
          <w:trHeight w:val="720"/>
          <w:jc w:val="center"/>
        </w:trPr>
        <w:tc>
          <w:tcPr>
            <w:tcW w:w="3049" w:type="dxa"/>
            <w:vMerge/>
            <w:tcBorders>
              <w:left w:val="single" w:sz="4" w:space="0" w:color="auto"/>
              <w:bottom w:val="single" w:sz="4" w:space="0" w:color="auto"/>
              <w:right w:val="single" w:sz="4" w:space="0" w:color="auto"/>
            </w:tcBorders>
            <w:vAlign w:val="center"/>
          </w:tcPr>
          <w:p w:rsidR="00EC328F" w:rsidRPr="007A63E5" w:rsidRDefault="00EC328F" w:rsidP="00B82C09">
            <w:pPr>
              <w:jc w:val="center"/>
              <w:rPr>
                <w:rFonts w:ascii="Calibri" w:eastAsia="標楷體" w:hAnsi="Calibri"/>
                <w:b/>
                <w:color w:val="000000" w:themeColor="text1"/>
                <w:spacing w:val="-20"/>
                <w:sz w:val="28"/>
                <w:szCs w:val="28"/>
              </w:rPr>
            </w:pPr>
          </w:p>
        </w:tc>
        <w:tc>
          <w:tcPr>
            <w:tcW w:w="36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C328F" w:rsidRPr="007A63E5" w:rsidRDefault="00EC328F" w:rsidP="00CB775E">
            <w:pPr>
              <w:spacing w:line="240" w:lineRule="exact"/>
              <w:jc w:val="both"/>
              <w:rPr>
                <w:rFonts w:ascii="標楷體" w:eastAsia="標楷體" w:hAnsi="標楷體"/>
                <w:color w:val="000000" w:themeColor="text1"/>
                <w:sz w:val="26"/>
                <w:szCs w:val="26"/>
              </w:rPr>
            </w:pPr>
            <w:r w:rsidRPr="007A63E5">
              <w:rPr>
                <w:rFonts w:ascii="標楷體" w:eastAsia="標楷體" w:hAnsi="標楷體" w:hint="eastAsia"/>
                <w:color w:val="000000" w:themeColor="text1"/>
                <w:sz w:val="26"/>
                <w:szCs w:val="26"/>
              </w:rPr>
              <w:t>護理</w:t>
            </w:r>
          </w:p>
        </w:tc>
        <w:tc>
          <w:tcPr>
            <w:tcW w:w="4229" w:type="dxa"/>
            <w:vMerge/>
            <w:tcBorders>
              <w:left w:val="single" w:sz="4" w:space="0" w:color="auto"/>
              <w:bottom w:val="single" w:sz="4" w:space="0" w:color="auto"/>
              <w:right w:val="single" w:sz="4" w:space="0" w:color="auto"/>
            </w:tcBorders>
            <w:vAlign w:val="center"/>
          </w:tcPr>
          <w:p w:rsidR="00EC328F" w:rsidRPr="007A63E5" w:rsidRDefault="00EC328F" w:rsidP="00955D24">
            <w:pPr>
              <w:jc w:val="both"/>
              <w:rPr>
                <w:rFonts w:ascii="標楷體" w:eastAsia="標楷體" w:hAnsi="標楷體" w:cs="新細明體"/>
                <w:color w:val="000000" w:themeColor="text1"/>
                <w:kern w:val="0"/>
              </w:rPr>
            </w:pPr>
          </w:p>
        </w:tc>
      </w:tr>
      <w:tr w:rsidR="007A63E5" w:rsidRPr="007A63E5" w:rsidTr="003C53FB">
        <w:trPr>
          <w:cantSplit/>
          <w:trHeight w:val="480"/>
          <w:jc w:val="center"/>
        </w:trPr>
        <w:tc>
          <w:tcPr>
            <w:tcW w:w="3049" w:type="dxa"/>
            <w:vMerge w:val="restart"/>
            <w:tcBorders>
              <w:top w:val="single" w:sz="4" w:space="0" w:color="auto"/>
              <w:left w:val="single" w:sz="4" w:space="0" w:color="auto"/>
              <w:right w:val="single" w:sz="4" w:space="0" w:color="auto"/>
            </w:tcBorders>
            <w:vAlign w:val="center"/>
          </w:tcPr>
          <w:p w:rsidR="00CB775E" w:rsidRPr="007A63E5" w:rsidRDefault="00CB775E" w:rsidP="00B82C09">
            <w:pPr>
              <w:jc w:val="center"/>
              <w:rPr>
                <w:rFonts w:ascii="Calibri" w:eastAsia="標楷體" w:hAnsi="Calibri"/>
                <w:b/>
                <w:color w:val="000000" w:themeColor="text1"/>
                <w:spacing w:val="-20"/>
                <w:sz w:val="28"/>
                <w:szCs w:val="28"/>
              </w:rPr>
            </w:pPr>
            <w:r w:rsidRPr="007A63E5">
              <w:rPr>
                <w:rFonts w:ascii="Calibri" w:eastAsia="標楷體" w:hAnsi="Calibri" w:hint="eastAsia"/>
                <w:b/>
                <w:color w:val="000000" w:themeColor="text1"/>
                <w:spacing w:val="-20"/>
                <w:sz w:val="28"/>
                <w:szCs w:val="28"/>
              </w:rPr>
              <w:t>工程醫學</w:t>
            </w:r>
          </w:p>
        </w:tc>
        <w:tc>
          <w:tcPr>
            <w:tcW w:w="36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75E" w:rsidRPr="007A63E5" w:rsidRDefault="00CB775E" w:rsidP="00640D1A">
            <w:pPr>
              <w:autoSpaceDE w:val="0"/>
              <w:autoSpaceDN w:val="0"/>
              <w:adjustRightInd w:val="0"/>
              <w:snapToGrid w:val="0"/>
              <w:spacing w:line="240" w:lineRule="exact"/>
              <w:rPr>
                <w:rFonts w:ascii="標楷體" w:eastAsia="標楷體" w:hAnsi="標楷體"/>
                <w:color w:val="000000" w:themeColor="text1"/>
                <w:spacing w:val="-20"/>
                <w:kern w:val="16"/>
                <w:sz w:val="26"/>
                <w:szCs w:val="26"/>
              </w:rPr>
            </w:pPr>
            <w:r w:rsidRPr="007A63E5">
              <w:rPr>
                <w:rFonts w:ascii="標楷體" w:eastAsia="標楷體" w:hAnsi="標楷體" w:hint="eastAsia"/>
                <w:color w:val="000000" w:themeColor="text1"/>
                <w:spacing w:val="-20"/>
                <w:kern w:val="16"/>
                <w:sz w:val="26"/>
                <w:szCs w:val="26"/>
              </w:rPr>
              <w:t>醫工</w:t>
            </w:r>
            <w:r w:rsidR="00640D1A" w:rsidRPr="007A63E5">
              <w:rPr>
                <w:rFonts w:ascii="標楷體" w:eastAsia="標楷體" w:hAnsi="標楷體" w:hint="eastAsia"/>
                <w:color w:val="000000" w:themeColor="text1"/>
                <w:spacing w:val="-20"/>
                <w:kern w:val="16"/>
                <w:sz w:val="26"/>
                <w:szCs w:val="26"/>
              </w:rPr>
              <w:t>、</w:t>
            </w:r>
            <w:r w:rsidR="00D13259" w:rsidRPr="007A63E5">
              <w:rPr>
                <w:rFonts w:ascii="標楷體" w:eastAsia="標楷體" w:hAnsi="標楷體" w:hint="eastAsia"/>
                <w:color w:val="000000" w:themeColor="text1"/>
                <w:spacing w:val="-20"/>
                <w:kern w:val="16"/>
                <w:sz w:val="26"/>
                <w:szCs w:val="26"/>
              </w:rPr>
              <w:t>骨科</w:t>
            </w:r>
          </w:p>
        </w:tc>
        <w:tc>
          <w:tcPr>
            <w:tcW w:w="4229" w:type="dxa"/>
            <w:vMerge w:val="restart"/>
            <w:tcBorders>
              <w:top w:val="single" w:sz="4" w:space="0" w:color="auto"/>
              <w:left w:val="single" w:sz="4" w:space="0" w:color="auto"/>
              <w:right w:val="single" w:sz="4" w:space="0" w:color="auto"/>
            </w:tcBorders>
            <w:vAlign w:val="center"/>
          </w:tcPr>
          <w:p w:rsidR="00CB775E" w:rsidRPr="007A63E5" w:rsidRDefault="00CB775E" w:rsidP="00D13259">
            <w:pPr>
              <w:jc w:val="both"/>
              <w:rPr>
                <w:rFonts w:ascii="標楷體" w:eastAsia="標楷體" w:hAnsi="標楷體" w:cs="新細明體"/>
                <w:color w:val="000000" w:themeColor="text1"/>
                <w:kern w:val="0"/>
              </w:rPr>
            </w:pPr>
            <w:r w:rsidRPr="007A63E5">
              <w:rPr>
                <w:rFonts w:ascii="標楷體" w:eastAsia="標楷體" w:hAnsi="標楷體" w:cs="新細明體" w:hint="eastAsia"/>
                <w:color w:val="000000" w:themeColor="text1"/>
                <w:kern w:val="0"/>
              </w:rPr>
              <w:t>結合生物、醫學、工程與基礎科學之研究，主要涵蓋生醫材料、生物力學、生醫電子、工程醫學、醫學影像、醫學物理、核子醫學、骨科、牙科、組織工程</w:t>
            </w:r>
            <w:r w:rsidR="00B86278" w:rsidRPr="007A63E5">
              <w:rPr>
                <w:rFonts w:ascii="標楷體" w:eastAsia="標楷體" w:hAnsi="標楷體" w:cs="新細明體" w:hint="eastAsia"/>
                <w:color w:val="000000" w:themeColor="text1"/>
                <w:kern w:val="0"/>
              </w:rPr>
              <w:t>、再生醫學</w:t>
            </w:r>
            <w:r w:rsidRPr="007A63E5">
              <w:rPr>
                <w:rFonts w:ascii="標楷體" w:eastAsia="標楷體" w:hAnsi="標楷體" w:cs="新細明體" w:hint="eastAsia"/>
                <w:color w:val="000000" w:themeColor="text1"/>
                <w:kern w:val="0"/>
              </w:rPr>
              <w:t>及復健醫學、物理治療、職能治療等領域，以物理及工程技術解決醫學與臨床運用上的問題。</w:t>
            </w:r>
          </w:p>
          <w:p w:rsidR="003C53FB" w:rsidRPr="007A63E5" w:rsidRDefault="003C53FB" w:rsidP="00D13259">
            <w:pPr>
              <w:jc w:val="both"/>
              <w:rPr>
                <w:rFonts w:ascii="Calibri" w:eastAsia="標楷體" w:hAnsi="Calibri"/>
                <w:color w:val="000000" w:themeColor="text1"/>
              </w:rPr>
            </w:pPr>
          </w:p>
        </w:tc>
      </w:tr>
      <w:tr w:rsidR="007A63E5" w:rsidRPr="007A63E5" w:rsidTr="003C53FB">
        <w:trPr>
          <w:cantSplit/>
          <w:trHeight w:val="594"/>
          <w:jc w:val="center"/>
        </w:trPr>
        <w:tc>
          <w:tcPr>
            <w:tcW w:w="3049" w:type="dxa"/>
            <w:vMerge/>
            <w:tcBorders>
              <w:left w:val="single" w:sz="4" w:space="0" w:color="auto"/>
              <w:right w:val="single" w:sz="4" w:space="0" w:color="auto"/>
            </w:tcBorders>
            <w:vAlign w:val="center"/>
          </w:tcPr>
          <w:p w:rsidR="00CB775E" w:rsidRPr="007A63E5" w:rsidRDefault="00CB775E" w:rsidP="00B82C09">
            <w:pPr>
              <w:jc w:val="center"/>
              <w:rPr>
                <w:rFonts w:ascii="Calibri" w:eastAsia="標楷體" w:hAnsi="Calibri"/>
                <w:b/>
                <w:color w:val="000000" w:themeColor="text1"/>
                <w:spacing w:val="-20"/>
                <w:sz w:val="28"/>
                <w:szCs w:val="28"/>
              </w:rPr>
            </w:pPr>
          </w:p>
        </w:tc>
        <w:tc>
          <w:tcPr>
            <w:tcW w:w="36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75E" w:rsidRPr="007A63E5" w:rsidRDefault="00CB775E" w:rsidP="00CB775E">
            <w:pPr>
              <w:autoSpaceDE w:val="0"/>
              <w:autoSpaceDN w:val="0"/>
              <w:adjustRightInd w:val="0"/>
              <w:snapToGrid w:val="0"/>
              <w:spacing w:line="240" w:lineRule="exact"/>
              <w:rPr>
                <w:rFonts w:ascii="標楷體" w:eastAsia="標楷體" w:hAnsi="標楷體"/>
                <w:iCs/>
                <w:color w:val="000000" w:themeColor="text1"/>
                <w:spacing w:val="-20"/>
                <w:kern w:val="16"/>
                <w:sz w:val="26"/>
                <w:szCs w:val="26"/>
              </w:rPr>
            </w:pPr>
            <w:r w:rsidRPr="007A63E5">
              <w:rPr>
                <w:rFonts w:ascii="標楷體" w:eastAsia="標楷體" w:hAnsi="標楷體" w:hint="eastAsia"/>
                <w:color w:val="000000" w:themeColor="text1"/>
                <w:spacing w:val="-20"/>
                <w:kern w:val="16"/>
                <w:sz w:val="26"/>
                <w:szCs w:val="26"/>
              </w:rPr>
              <w:t>牙醫</w:t>
            </w:r>
          </w:p>
        </w:tc>
        <w:tc>
          <w:tcPr>
            <w:tcW w:w="4229" w:type="dxa"/>
            <w:vMerge/>
            <w:tcBorders>
              <w:left w:val="single" w:sz="4" w:space="0" w:color="auto"/>
              <w:right w:val="single" w:sz="4" w:space="0" w:color="auto"/>
            </w:tcBorders>
            <w:vAlign w:val="center"/>
          </w:tcPr>
          <w:p w:rsidR="00CB775E" w:rsidRPr="007A63E5" w:rsidRDefault="00CB775E" w:rsidP="00955D24">
            <w:pPr>
              <w:jc w:val="both"/>
              <w:rPr>
                <w:rFonts w:ascii="標楷體" w:eastAsia="標楷體" w:hAnsi="標楷體" w:cs="新細明體"/>
                <w:color w:val="000000" w:themeColor="text1"/>
                <w:kern w:val="0"/>
              </w:rPr>
            </w:pPr>
          </w:p>
        </w:tc>
      </w:tr>
      <w:tr w:rsidR="007A63E5" w:rsidRPr="007A63E5" w:rsidTr="003C53FB">
        <w:trPr>
          <w:cantSplit/>
          <w:trHeight w:val="658"/>
          <w:jc w:val="center"/>
        </w:trPr>
        <w:tc>
          <w:tcPr>
            <w:tcW w:w="3049" w:type="dxa"/>
            <w:vMerge/>
            <w:tcBorders>
              <w:left w:val="single" w:sz="4" w:space="0" w:color="auto"/>
              <w:right w:val="single" w:sz="4" w:space="0" w:color="auto"/>
            </w:tcBorders>
            <w:vAlign w:val="center"/>
          </w:tcPr>
          <w:p w:rsidR="00CB775E" w:rsidRPr="007A63E5" w:rsidRDefault="00CB775E" w:rsidP="00B82C09">
            <w:pPr>
              <w:jc w:val="center"/>
              <w:rPr>
                <w:rFonts w:ascii="Calibri" w:eastAsia="標楷體" w:hAnsi="Calibri"/>
                <w:b/>
                <w:color w:val="000000" w:themeColor="text1"/>
                <w:spacing w:val="-20"/>
                <w:sz w:val="28"/>
                <w:szCs w:val="28"/>
              </w:rPr>
            </w:pPr>
          </w:p>
        </w:tc>
        <w:tc>
          <w:tcPr>
            <w:tcW w:w="36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75E" w:rsidRPr="007A63E5" w:rsidRDefault="00CB775E" w:rsidP="00CB775E">
            <w:pPr>
              <w:autoSpaceDE w:val="0"/>
              <w:autoSpaceDN w:val="0"/>
              <w:adjustRightInd w:val="0"/>
              <w:snapToGrid w:val="0"/>
              <w:spacing w:line="240" w:lineRule="exact"/>
              <w:rPr>
                <w:rFonts w:ascii="標楷體" w:eastAsia="標楷體" w:hAnsi="標楷體"/>
                <w:color w:val="000000" w:themeColor="text1"/>
                <w:spacing w:val="-20"/>
                <w:kern w:val="16"/>
                <w:sz w:val="26"/>
                <w:szCs w:val="26"/>
              </w:rPr>
            </w:pPr>
            <w:r w:rsidRPr="007A63E5">
              <w:rPr>
                <w:rFonts w:ascii="標楷體" w:eastAsia="標楷體" w:hAnsi="標楷體" w:hint="eastAsia"/>
                <w:color w:val="000000" w:themeColor="text1"/>
                <w:spacing w:val="-20"/>
                <w:kern w:val="16"/>
                <w:sz w:val="26"/>
                <w:szCs w:val="26"/>
              </w:rPr>
              <w:t>放射核醫</w:t>
            </w:r>
          </w:p>
        </w:tc>
        <w:tc>
          <w:tcPr>
            <w:tcW w:w="4229" w:type="dxa"/>
            <w:vMerge/>
            <w:tcBorders>
              <w:left w:val="single" w:sz="4" w:space="0" w:color="auto"/>
              <w:right w:val="single" w:sz="4" w:space="0" w:color="auto"/>
            </w:tcBorders>
            <w:vAlign w:val="center"/>
          </w:tcPr>
          <w:p w:rsidR="00CB775E" w:rsidRPr="007A63E5" w:rsidRDefault="00CB775E" w:rsidP="00955D24">
            <w:pPr>
              <w:jc w:val="both"/>
              <w:rPr>
                <w:rFonts w:ascii="標楷體" w:eastAsia="標楷體" w:hAnsi="標楷體" w:cs="新細明體"/>
                <w:color w:val="000000" w:themeColor="text1"/>
                <w:kern w:val="0"/>
              </w:rPr>
            </w:pPr>
          </w:p>
        </w:tc>
      </w:tr>
      <w:tr w:rsidR="007A63E5" w:rsidRPr="007A63E5" w:rsidTr="003C53FB">
        <w:trPr>
          <w:cantSplit/>
          <w:trHeight w:val="480"/>
          <w:jc w:val="center"/>
        </w:trPr>
        <w:tc>
          <w:tcPr>
            <w:tcW w:w="3049" w:type="dxa"/>
            <w:vMerge/>
            <w:tcBorders>
              <w:left w:val="single" w:sz="4" w:space="0" w:color="auto"/>
              <w:bottom w:val="single" w:sz="4" w:space="0" w:color="auto"/>
              <w:right w:val="single" w:sz="4" w:space="0" w:color="auto"/>
            </w:tcBorders>
            <w:vAlign w:val="center"/>
          </w:tcPr>
          <w:p w:rsidR="00CB775E" w:rsidRPr="007A63E5" w:rsidRDefault="00CB775E" w:rsidP="00B82C09">
            <w:pPr>
              <w:jc w:val="center"/>
              <w:rPr>
                <w:rFonts w:ascii="Calibri" w:eastAsia="標楷體" w:hAnsi="Calibri"/>
                <w:b/>
                <w:color w:val="000000" w:themeColor="text1"/>
                <w:spacing w:val="-20"/>
                <w:sz w:val="28"/>
                <w:szCs w:val="28"/>
              </w:rPr>
            </w:pPr>
          </w:p>
        </w:tc>
        <w:tc>
          <w:tcPr>
            <w:tcW w:w="36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75E" w:rsidRPr="007A63E5" w:rsidRDefault="00D13259" w:rsidP="00CB775E">
            <w:pPr>
              <w:autoSpaceDE w:val="0"/>
              <w:autoSpaceDN w:val="0"/>
              <w:adjustRightInd w:val="0"/>
              <w:snapToGrid w:val="0"/>
              <w:spacing w:line="240" w:lineRule="exact"/>
              <w:rPr>
                <w:rFonts w:ascii="標楷體" w:eastAsia="標楷體" w:hAnsi="標楷體"/>
                <w:color w:val="000000" w:themeColor="text1"/>
                <w:spacing w:val="-20"/>
                <w:kern w:val="16"/>
                <w:sz w:val="26"/>
                <w:szCs w:val="26"/>
              </w:rPr>
            </w:pPr>
            <w:r w:rsidRPr="007A63E5">
              <w:rPr>
                <w:rFonts w:ascii="標楷體" w:eastAsia="標楷體" w:hAnsi="標楷體" w:hint="eastAsia"/>
                <w:color w:val="000000" w:themeColor="text1"/>
                <w:spacing w:val="-20"/>
                <w:kern w:val="16"/>
                <w:sz w:val="26"/>
                <w:szCs w:val="26"/>
              </w:rPr>
              <w:t>復健</w:t>
            </w:r>
          </w:p>
        </w:tc>
        <w:tc>
          <w:tcPr>
            <w:tcW w:w="4229" w:type="dxa"/>
            <w:vMerge/>
            <w:tcBorders>
              <w:left w:val="single" w:sz="4" w:space="0" w:color="auto"/>
              <w:bottom w:val="single" w:sz="4" w:space="0" w:color="auto"/>
              <w:right w:val="single" w:sz="4" w:space="0" w:color="auto"/>
            </w:tcBorders>
            <w:vAlign w:val="center"/>
          </w:tcPr>
          <w:p w:rsidR="00CB775E" w:rsidRPr="007A63E5" w:rsidRDefault="00CB775E" w:rsidP="00955D24">
            <w:pPr>
              <w:jc w:val="both"/>
              <w:rPr>
                <w:rFonts w:ascii="標楷體" w:eastAsia="標楷體" w:hAnsi="標楷體" w:cs="新細明體"/>
                <w:color w:val="000000" w:themeColor="text1"/>
                <w:kern w:val="0"/>
              </w:rPr>
            </w:pPr>
          </w:p>
        </w:tc>
      </w:tr>
      <w:tr w:rsidR="007A63E5" w:rsidRPr="007A63E5" w:rsidTr="003C53FB">
        <w:trPr>
          <w:cantSplit/>
          <w:trHeight w:val="1470"/>
          <w:jc w:val="center"/>
        </w:trPr>
        <w:tc>
          <w:tcPr>
            <w:tcW w:w="3049" w:type="dxa"/>
            <w:vMerge w:val="restart"/>
            <w:tcBorders>
              <w:top w:val="single" w:sz="4" w:space="0" w:color="auto"/>
              <w:left w:val="single" w:sz="4" w:space="0" w:color="auto"/>
              <w:right w:val="single" w:sz="4" w:space="0" w:color="auto"/>
            </w:tcBorders>
            <w:vAlign w:val="center"/>
            <w:hideMark/>
          </w:tcPr>
          <w:p w:rsidR="007F0B9F" w:rsidRPr="007A63E5" w:rsidRDefault="007F0B9F" w:rsidP="00B82C09">
            <w:pPr>
              <w:jc w:val="center"/>
              <w:rPr>
                <w:rFonts w:ascii="Calibri" w:eastAsia="標楷體" w:hAnsi="Calibri"/>
                <w:b/>
                <w:color w:val="000000" w:themeColor="text1"/>
                <w:spacing w:val="-20"/>
                <w:sz w:val="28"/>
                <w:szCs w:val="28"/>
              </w:rPr>
            </w:pPr>
            <w:r w:rsidRPr="007A63E5">
              <w:rPr>
                <w:rFonts w:ascii="Calibri" w:eastAsia="標楷體" w:hAnsi="Calibri" w:hint="eastAsia"/>
                <w:b/>
                <w:color w:val="000000" w:themeColor="text1"/>
                <w:spacing w:val="-20"/>
                <w:sz w:val="28"/>
                <w:szCs w:val="28"/>
              </w:rPr>
              <w:t>消化醫學</w:t>
            </w:r>
          </w:p>
        </w:tc>
        <w:tc>
          <w:tcPr>
            <w:tcW w:w="3637" w:type="dxa"/>
            <w:tcBorders>
              <w:top w:val="single" w:sz="4" w:space="0" w:color="auto"/>
              <w:left w:val="single" w:sz="4" w:space="0" w:color="auto"/>
              <w:right w:val="single" w:sz="4" w:space="0" w:color="auto"/>
            </w:tcBorders>
            <w:tcMar>
              <w:top w:w="20" w:type="dxa"/>
              <w:left w:w="20" w:type="dxa"/>
              <w:bottom w:w="0" w:type="dxa"/>
              <w:right w:w="20" w:type="dxa"/>
            </w:tcMar>
            <w:vAlign w:val="center"/>
            <w:hideMark/>
          </w:tcPr>
          <w:p w:rsidR="007F0B9F" w:rsidRPr="007A63E5" w:rsidRDefault="007F0B9F" w:rsidP="00CB775E">
            <w:pPr>
              <w:spacing w:line="240" w:lineRule="exact"/>
              <w:rPr>
                <w:rFonts w:ascii="標楷體" w:eastAsia="標楷體" w:hAnsi="標楷體"/>
                <w:color w:val="000000" w:themeColor="text1"/>
                <w:sz w:val="26"/>
                <w:szCs w:val="26"/>
              </w:rPr>
            </w:pPr>
            <w:r w:rsidRPr="007A63E5">
              <w:rPr>
                <w:rFonts w:ascii="標楷體" w:eastAsia="標楷體" w:hAnsi="標楷體" w:hint="eastAsia"/>
                <w:color w:val="000000" w:themeColor="text1"/>
                <w:sz w:val="26"/>
                <w:szCs w:val="26"/>
              </w:rPr>
              <w:t>肝膽胃腸</w:t>
            </w:r>
          </w:p>
        </w:tc>
        <w:tc>
          <w:tcPr>
            <w:tcW w:w="4229" w:type="dxa"/>
            <w:vMerge w:val="restart"/>
            <w:tcBorders>
              <w:top w:val="single" w:sz="4" w:space="0" w:color="auto"/>
              <w:left w:val="single" w:sz="4" w:space="0" w:color="auto"/>
              <w:right w:val="single" w:sz="4" w:space="0" w:color="auto"/>
            </w:tcBorders>
            <w:vAlign w:val="center"/>
          </w:tcPr>
          <w:p w:rsidR="007F0B9F" w:rsidRPr="007A63E5" w:rsidRDefault="007F0B9F" w:rsidP="006C0A1A">
            <w:pPr>
              <w:jc w:val="both"/>
              <w:rPr>
                <w:rFonts w:ascii="Calibri" w:eastAsia="標楷體" w:hAnsi="Calibri"/>
                <w:b/>
                <w:color w:val="000000" w:themeColor="text1"/>
              </w:rPr>
            </w:pPr>
            <w:r w:rsidRPr="007A63E5">
              <w:rPr>
                <w:rFonts w:ascii="Calibri" w:eastAsia="標楷體" w:hAnsi="Calibri" w:hint="eastAsia"/>
                <w:color w:val="000000" w:themeColor="text1"/>
              </w:rPr>
              <w:t>針對</w:t>
            </w:r>
            <w:r w:rsidRPr="007A63E5">
              <w:rPr>
                <w:rFonts w:ascii="Calibri" w:eastAsia="標楷體" w:hAnsi="Calibri"/>
                <w:color w:val="000000" w:themeColor="text1"/>
              </w:rPr>
              <w:t>消化</w:t>
            </w:r>
            <w:r w:rsidR="006C0A1A" w:rsidRPr="007A63E5">
              <w:rPr>
                <w:rFonts w:ascii="Calibri" w:eastAsia="標楷體" w:hAnsi="Calibri" w:hint="eastAsia"/>
                <w:color w:val="000000" w:themeColor="text1"/>
              </w:rPr>
              <w:t>系統相關</w:t>
            </w:r>
            <w:r w:rsidRPr="007A63E5">
              <w:rPr>
                <w:rFonts w:ascii="Calibri" w:eastAsia="標楷體" w:hAnsi="Calibri"/>
                <w:color w:val="000000" w:themeColor="text1"/>
              </w:rPr>
              <w:t>的疾病，從食道、胃、小腸、大腸</w:t>
            </w:r>
            <w:r w:rsidRPr="007A63E5">
              <w:rPr>
                <w:rFonts w:ascii="Calibri" w:eastAsia="標楷體" w:hAnsi="Calibri" w:hint="eastAsia"/>
                <w:color w:val="000000" w:themeColor="text1"/>
              </w:rPr>
              <w:t>、</w:t>
            </w:r>
            <w:r w:rsidRPr="007A63E5">
              <w:rPr>
                <w:rFonts w:ascii="Calibri" w:eastAsia="標楷體" w:hAnsi="Calibri"/>
                <w:color w:val="000000" w:themeColor="text1"/>
              </w:rPr>
              <w:t>肝臟、膽囊、膽道系統、胰臟及脾臟</w:t>
            </w:r>
            <w:r w:rsidRPr="007A63E5">
              <w:rPr>
                <w:rFonts w:ascii="Calibri" w:eastAsia="標楷體" w:hAnsi="Calibri" w:hint="eastAsia"/>
                <w:color w:val="000000" w:themeColor="text1"/>
              </w:rPr>
              <w:t>等</w:t>
            </w:r>
            <w:r w:rsidRPr="007A63E5">
              <w:rPr>
                <w:rFonts w:ascii="Calibri" w:eastAsia="標楷體" w:hAnsi="Calibri"/>
                <w:color w:val="000000" w:themeColor="text1"/>
              </w:rPr>
              <w:t>器官</w:t>
            </w:r>
            <w:r w:rsidRPr="007A63E5">
              <w:rPr>
                <w:rFonts w:ascii="Calibri" w:eastAsia="標楷體" w:hAnsi="Calibri" w:hint="eastAsia"/>
                <w:color w:val="000000" w:themeColor="text1"/>
              </w:rPr>
              <w:t>相關</w:t>
            </w:r>
            <w:r w:rsidR="00D7721A" w:rsidRPr="007A63E5">
              <w:rPr>
                <w:rFonts w:ascii="Calibri" w:eastAsia="標楷體" w:hAnsi="Calibri" w:hint="eastAsia"/>
                <w:color w:val="000000" w:themeColor="text1"/>
              </w:rPr>
              <w:t>內、外科</w:t>
            </w:r>
            <w:r w:rsidRPr="007A63E5">
              <w:rPr>
                <w:rFonts w:ascii="Calibri" w:eastAsia="標楷體" w:hAnsi="Calibri"/>
                <w:color w:val="000000" w:themeColor="text1"/>
              </w:rPr>
              <w:t>疾病</w:t>
            </w:r>
            <w:r w:rsidRPr="007A63E5">
              <w:rPr>
                <w:rFonts w:ascii="Calibri" w:eastAsia="標楷體" w:hAnsi="Calibri" w:hint="eastAsia"/>
                <w:color w:val="000000" w:themeColor="text1"/>
              </w:rPr>
              <w:t>之基礎與臨床研究；如胃腸炎、潰瘍、膽囊炎與</w:t>
            </w:r>
            <w:r w:rsidRPr="007A63E5">
              <w:rPr>
                <w:rFonts w:ascii="Calibri" w:eastAsia="標楷體" w:hAnsi="Calibri" w:hint="eastAsia"/>
                <w:color w:val="000000" w:themeColor="text1"/>
              </w:rPr>
              <w:lastRenderedPageBreak/>
              <w:t>膽石症、急慢性肝炎、胰腺炎、腫瘤等疾病，從基礎、轉譯、臨床或流行病學等角度出發，研究其病理機轉、診斷、治療與預防等之科學。</w:t>
            </w:r>
          </w:p>
        </w:tc>
      </w:tr>
      <w:tr w:rsidR="007A63E5" w:rsidRPr="007A63E5" w:rsidTr="003C53FB">
        <w:trPr>
          <w:cantSplit/>
          <w:trHeight w:val="720"/>
          <w:jc w:val="center"/>
        </w:trPr>
        <w:tc>
          <w:tcPr>
            <w:tcW w:w="3049" w:type="dxa"/>
            <w:vMerge/>
            <w:tcBorders>
              <w:left w:val="single" w:sz="4" w:space="0" w:color="auto"/>
              <w:bottom w:val="single" w:sz="4" w:space="0" w:color="auto"/>
              <w:right w:val="single" w:sz="4" w:space="0" w:color="auto"/>
            </w:tcBorders>
            <w:vAlign w:val="center"/>
          </w:tcPr>
          <w:p w:rsidR="00CB775E" w:rsidRPr="007A63E5" w:rsidRDefault="00CB775E" w:rsidP="00B82C09">
            <w:pPr>
              <w:jc w:val="center"/>
              <w:rPr>
                <w:rFonts w:ascii="Calibri" w:eastAsia="標楷體" w:hAnsi="Calibri"/>
                <w:b/>
                <w:color w:val="000000" w:themeColor="text1"/>
                <w:spacing w:val="-20"/>
                <w:sz w:val="28"/>
                <w:szCs w:val="28"/>
              </w:rPr>
            </w:pPr>
          </w:p>
        </w:tc>
        <w:tc>
          <w:tcPr>
            <w:tcW w:w="36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75E" w:rsidRPr="007A63E5" w:rsidRDefault="007F0B9F" w:rsidP="00CB775E">
            <w:pPr>
              <w:spacing w:line="240" w:lineRule="exact"/>
              <w:rPr>
                <w:rFonts w:ascii="標楷體" w:eastAsia="標楷體" w:hAnsi="標楷體"/>
                <w:color w:val="000000" w:themeColor="text1"/>
                <w:sz w:val="26"/>
                <w:szCs w:val="26"/>
              </w:rPr>
            </w:pPr>
            <w:r w:rsidRPr="007A63E5">
              <w:rPr>
                <w:rFonts w:ascii="標楷體" w:eastAsia="標楷體" w:hAnsi="標楷體" w:hint="eastAsia"/>
                <w:color w:val="000000" w:themeColor="text1"/>
                <w:sz w:val="26"/>
                <w:szCs w:val="26"/>
              </w:rPr>
              <w:t>消化外科</w:t>
            </w:r>
          </w:p>
        </w:tc>
        <w:tc>
          <w:tcPr>
            <w:tcW w:w="4229" w:type="dxa"/>
            <w:vMerge/>
            <w:tcBorders>
              <w:left w:val="single" w:sz="4" w:space="0" w:color="auto"/>
              <w:bottom w:val="single" w:sz="4" w:space="0" w:color="auto"/>
              <w:right w:val="single" w:sz="4" w:space="0" w:color="auto"/>
            </w:tcBorders>
            <w:vAlign w:val="center"/>
          </w:tcPr>
          <w:p w:rsidR="00CB775E" w:rsidRPr="007A63E5" w:rsidRDefault="00CB775E" w:rsidP="00955D24">
            <w:pPr>
              <w:jc w:val="both"/>
              <w:rPr>
                <w:rFonts w:ascii="Calibri" w:eastAsia="標楷體" w:hAnsi="Calibri"/>
                <w:color w:val="000000" w:themeColor="text1"/>
              </w:rPr>
            </w:pPr>
          </w:p>
        </w:tc>
      </w:tr>
      <w:tr w:rsidR="007A63E5" w:rsidRPr="007A63E5" w:rsidTr="003C53FB">
        <w:trPr>
          <w:cantSplit/>
          <w:trHeight w:val="820"/>
          <w:jc w:val="center"/>
        </w:trPr>
        <w:tc>
          <w:tcPr>
            <w:tcW w:w="3049" w:type="dxa"/>
            <w:vMerge w:val="restart"/>
            <w:tcBorders>
              <w:top w:val="single" w:sz="4" w:space="0" w:color="auto"/>
              <w:left w:val="single" w:sz="4" w:space="0" w:color="auto"/>
              <w:right w:val="single" w:sz="4" w:space="0" w:color="auto"/>
            </w:tcBorders>
            <w:vAlign w:val="center"/>
            <w:hideMark/>
          </w:tcPr>
          <w:p w:rsidR="00CB775E" w:rsidRPr="007A63E5" w:rsidRDefault="00CB775E" w:rsidP="00B82C09">
            <w:pPr>
              <w:jc w:val="center"/>
              <w:rPr>
                <w:rFonts w:ascii="Calibri" w:eastAsia="標楷體" w:hAnsi="Calibri"/>
                <w:b/>
                <w:color w:val="000000" w:themeColor="text1"/>
                <w:spacing w:val="-20"/>
                <w:sz w:val="28"/>
                <w:szCs w:val="28"/>
              </w:rPr>
            </w:pPr>
            <w:r w:rsidRPr="007A63E5">
              <w:rPr>
                <w:rFonts w:ascii="Calibri" w:eastAsia="標楷體" w:hAnsi="Calibri" w:hint="eastAsia"/>
                <w:b/>
                <w:color w:val="000000" w:themeColor="text1"/>
                <w:spacing w:val="-20"/>
                <w:sz w:val="28"/>
                <w:szCs w:val="28"/>
              </w:rPr>
              <w:lastRenderedPageBreak/>
              <w:t>心臟醫學</w:t>
            </w:r>
          </w:p>
        </w:tc>
        <w:tc>
          <w:tcPr>
            <w:tcW w:w="36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hideMark/>
          </w:tcPr>
          <w:p w:rsidR="00CB775E" w:rsidRPr="007A63E5" w:rsidRDefault="00CB775E" w:rsidP="00CB775E">
            <w:pPr>
              <w:spacing w:line="240" w:lineRule="exact"/>
              <w:rPr>
                <w:rFonts w:ascii="標楷體" w:eastAsia="標楷體" w:hAnsi="標楷體"/>
                <w:color w:val="000000" w:themeColor="text1"/>
                <w:sz w:val="26"/>
                <w:szCs w:val="26"/>
              </w:rPr>
            </w:pPr>
            <w:r w:rsidRPr="007A63E5">
              <w:rPr>
                <w:rFonts w:ascii="標楷體" w:eastAsia="標楷體" w:hAnsi="標楷體" w:hint="eastAsia"/>
                <w:color w:val="000000" w:themeColor="text1"/>
                <w:sz w:val="26"/>
                <w:szCs w:val="26"/>
              </w:rPr>
              <w:t>心臟血管內</w:t>
            </w:r>
            <w:r w:rsidR="00B86278" w:rsidRPr="007A63E5">
              <w:rPr>
                <w:rFonts w:ascii="標楷體" w:eastAsia="標楷體" w:hAnsi="標楷體" w:hint="eastAsia"/>
                <w:color w:val="000000" w:themeColor="text1"/>
                <w:sz w:val="26"/>
                <w:szCs w:val="26"/>
              </w:rPr>
              <w:t>科</w:t>
            </w:r>
          </w:p>
        </w:tc>
        <w:tc>
          <w:tcPr>
            <w:tcW w:w="4229" w:type="dxa"/>
            <w:vMerge w:val="restart"/>
            <w:tcBorders>
              <w:top w:val="single" w:sz="4" w:space="0" w:color="auto"/>
              <w:left w:val="single" w:sz="4" w:space="0" w:color="auto"/>
              <w:right w:val="single" w:sz="4" w:space="0" w:color="auto"/>
            </w:tcBorders>
            <w:vAlign w:val="center"/>
          </w:tcPr>
          <w:p w:rsidR="00CB775E" w:rsidRPr="007A63E5" w:rsidRDefault="00CB775E" w:rsidP="00925B9F">
            <w:pPr>
              <w:jc w:val="both"/>
              <w:rPr>
                <w:rFonts w:ascii="Calibri" w:eastAsia="標楷體" w:hAnsi="Calibri"/>
                <w:b/>
                <w:color w:val="000000" w:themeColor="text1"/>
              </w:rPr>
            </w:pPr>
            <w:r w:rsidRPr="007A63E5">
              <w:rPr>
                <w:rFonts w:ascii="Calibri" w:eastAsia="標楷體" w:hAnsi="Calibri" w:hint="eastAsia"/>
                <w:color w:val="000000" w:themeColor="text1"/>
              </w:rPr>
              <w:t>針對生物循環問題之基礎與臨床研究；如心肌梗塞、心律不整、高血壓、動脈硬化、靜脈曲張等各種心血管疾病</w:t>
            </w:r>
            <w:r w:rsidR="00925B9F" w:rsidRPr="007A63E5">
              <w:rPr>
                <w:rFonts w:ascii="Calibri" w:eastAsia="標楷體" w:hAnsi="Calibri" w:hint="eastAsia"/>
                <w:color w:val="000000" w:themeColor="text1"/>
              </w:rPr>
              <w:t>或</w:t>
            </w:r>
            <w:r w:rsidR="00B948D2" w:rsidRPr="007A63E5">
              <w:rPr>
                <w:rFonts w:ascii="Calibri" w:eastAsia="標楷體" w:hAnsi="Calibri" w:hint="eastAsia"/>
                <w:color w:val="000000" w:themeColor="text1"/>
              </w:rPr>
              <w:t>急、重症</w:t>
            </w:r>
            <w:r w:rsidRPr="007A63E5">
              <w:rPr>
                <w:rFonts w:ascii="Calibri" w:eastAsia="標楷體" w:hAnsi="Calibri" w:hint="eastAsia"/>
                <w:color w:val="000000" w:themeColor="text1"/>
              </w:rPr>
              <w:t>，從基礎、轉譯、臨床或流行病學等角度出發，研究其病理機轉、診斷、治療與預防等之科學。</w:t>
            </w:r>
          </w:p>
        </w:tc>
      </w:tr>
      <w:tr w:rsidR="007A63E5" w:rsidRPr="007A63E5" w:rsidTr="003C53FB">
        <w:trPr>
          <w:cantSplit/>
          <w:trHeight w:val="820"/>
          <w:jc w:val="center"/>
        </w:trPr>
        <w:tc>
          <w:tcPr>
            <w:tcW w:w="3049" w:type="dxa"/>
            <w:vMerge/>
            <w:tcBorders>
              <w:left w:val="single" w:sz="4" w:space="0" w:color="auto"/>
              <w:right w:val="single" w:sz="4" w:space="0" w:color="auto"/>
            </w:tcBorders>
            <w:vAlign w:val="center"/>
          </w:tcPr>
          <w:p w:rsidR="00CB775E" w:rsidRPr="007A63E5" w:rsidRDefault="00CB775E" w:rsidP="00B82C09">
            <w:pPr>
              <w:jc w:val="center"/>
              <w:rPr>
                <w:rFonts w:ascii="Calibri" w:eastAsia="標楷體" w:hAnsi="Calibri"/>
                <w:b/>
                <w:color w:val="000000" w:themeColor="text1"/>
                <w:spacing w:val="-20"/>
                <w:sz w:val="28"/>
                <w:szCs w:val="28"/>
              </w:rPr>
            </w:pPr>
          </w:p>
        </w:tc>
        <w:tc>
          <w:tcPr>
            <w:tcW w:w="36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75E" w:rsidRPr="007A63E5" w:rsidRDefault="00CB775E" w:rsidP="00CB775E">
            <w:pPr>
              <w:spacing w:line="240" w:lineRule="exact"/>
              <w:rPr>
                <w:rFonts w:ascii="標楷體" w:eastAsia="標楷體" w:hAnsi="標楷體"/>
                <w:color w:val="000000" w:themeColor="text1"/>
                <w:sz w:val="26"/>
                <w:szCs w:val="26"/>
              </w:rPr>
            </w:pPr>
            <w:r w:rsidRPr="007A63E5">
              <w:rPr>
                <w:rFonts w:ascii="標楷體" w:eastAsia="標楷體" w:hAnsi="標楷體" w:hint="eastAsia"/>
                <w:color w:val="000000" w:themeColor="text1"/>
                <w:sz w:val="26"/>
                <w:szCs w:val="26"/>
              </w:rPr>
              <w:t>心臟血管外</w:t>
            </w:r>
            <w:r w:rsidR="00B86278" w:rsidRPr="007A63E5">
              <w:rPr>
                <w:rFonts w:ascii="標楷體" w:eastAsia="標楷體" w:hAnsi="標楷體" w:hint="eastAsia"/>
                <w:color w:val="000000" w:themeColor="text1"/>
                <w:sz w:val="26"/>
                <w:szCs w:val="26"/>
              </w:rPr>
              <w:t>科</w:t>
            </w:r>
          </w:p>
        </w:tc>
        <w:tc>
          <w:tcPr>
            <w:tcW w:w="4229" w:type="dxa"/>
            <w:vMerge/>
            <w:tcBorders>
              <w:left w:val="single" w:sz="4" w:space="0" w:color="auto"/>
              <w:right w:val="single" w:sz="4" w:space="0" w:color="auto"/>
            </w:tcBorders>
            <w:vAlign w:val="center"/>
          </w:tcPr>
          <w:p w:rsidR="00CB775E" w:rsidRPr="007A63E5" w:rsidRDefault="00CB775E" w:rsidP="00955D24">
            <w:pPr>
              <w:jc w:val="both"/>
              <w:rPr>
                <w:rFonts w:ascii="Calibri" w:eastAsia="標楷體" w:hAnsi="Calibri"/>
                <w:color w:val="000000" w:themeColor="text1"/>
              </w:rPr>
            </w:pPr>
          </w:p>
        </w:tc>
      </w:tr>
      <w:tr w:rsidR="007A63E5" w:rsidRPr="007A63E5" w:rsidTr="003C53FB">
        <w:trPr>
          <w:cantSplit/>
          <w:trHeight w:val="1216"/>
          <w:jc w:val="center"/>
        </w:trPr>
        <w:tc>
          <w:tcPr>
            <w:tcW w:w="3049" w:type="dxa"/>
            <w:vMerge w:val="restart"/>
            <w:tcBorders>
              <w:top w:val="single" w:sz="4" w:space="0" w:color="auto"/>
              <w:left w:val="single" w:sz="4" w:space="0" w:color="auto"/>
              <w:right w:val="single" w:sz="4" w:space="0" w:color="auto"/>
            </w:tcBorders>
            <w:vAlign w:val="center"/>
            <w:hideMark/>
          </w:tcPr>
          <w:p w:rsidR="00CB775E" w:rsidRPr="007A63E5" w:rsidRDefault="00CB775E" w:rsidP="00B82C09">
            <w:pPr>
              <w:jc w:val="center"/>
              <w:rPr>
                <w:rFonts w:ascii="Calibri" w:eastAsia="標楷體" w:hAnsi="Calibri"/>
                <w:b/>
                <w:color w:val="000000" w:themeColor="text1"/>
                <w:spacing w:val="-20"/>
                <w:sz w:val="28"/>
                <w:szCs w:val="28"/>
              </w:rPr>
            </w:pPr>
            <w:r w:rsidRPr="007A63E5">
              <w:rPr>
                <w:rFonts w:ascii="Calibri" w:eastAsia="標楷體" w:hAnsi="Calibri" w:hint="eastAsia"/>
                <w:b/>
                <w:color w:val="000000" w:themeColor="text1"/>
                <w:spacing w:val="-20"/>
                <w:sz w:val="28"/>
                <w:szCs w:val="28"/>
              </w:rPr>
              <w:t>胸腔醫學</w:t>
            </w:r>
          </w:p>
        </w:tc>
        <w:tc>
          <w:tcPr>
            <w:tcW w:w="36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hideMark/>
          </w:tcPr>
          <w:p w:rsidR="00CB775E" w:rsidRPr="007A63E5" w:rsidRDefault="00CB775E" w:rsidP="00CB775E">
            <w:pPr>
              <w:spacing w:line="240" w:lineRule="exact"/>
              <w:rPr>
                <w:rFonts w:ascii="標楷體" w:eastAsia="標楷體" w:hAnsi="標楷體"/>
                <w:color w:val="000000" w:themeColor="text1"/>
                <w:sz w:val="26"/>
                <w:szCs w:val="26"/>
              </w:rPr>
            </w:pPr>
            <w:r w:rsidRPr="007A63E5">
              <w:rPr>
                <w:rFonts w:ascii="標楷體" w:eastAsia="標楷體" w:hAnsi="標楷體" w:hint="eastAsia"/>
                <w:color w:val="000000" w:themeColor="text1"/>
                <w:sz w:val="26"/>
                <w:szCs w:val="26"/>
              </w:rPr>
              <w:t>胸腔內</w:t>
            </w:r>
            <w:r w:rsidR="00B86278" w:rsidRPr="007A63E5">
              <w:rPr>
                <w:rFonts w:ascii="標楷體" w:eastAsia="標楷體" w:hAnsi="標楷體" w:hint="eastAsia"/>
                <w:color w:val="000000" w:themeColor="text1"/>
                <w:sz w:val="26"/>
                <w:szCs w:val="26"/>
              </w:rPr>
              <w:t>科</w:t>
            </w:r>
          </w:p>
        </w:tc>
        <w:tc>
          <w:tcPr>
            <w:tcW w:w="4229" w:type="dxa"/>
            <w:vMerge w:val="restart"/>
            <w:tcBorders>
              <w:top w:val="single" w:sz="4" w:space="0" w:color="auto"/>
              <w:left w:val="single" w:sz="4" w:space="0" w:color="auto"/>
              <w:right w:val="single" w:sz="4" w:space="0" w:color="auto"/>
            </w:tcBorders>
            <w:vAlign w:val="center"/>
          </w:tcPr>
          <w:p w:rsidR="00CB775E" w:rsidRPr="007A63E5" w:rsidRDefault="00CB775E" w:rsidP="006C0A1A">
            <w:pPr>
              <w:jc w:val="both"/>
              <w:rPr>
                <w:rFonts w:ascii="Calibri" w:eastAsia="標楷體" w:hAnsi="Calibri"/>
                <w:b/>
                <w:color w:val="000000" w:themeColor="text1"/>
              </w:rPr>
            </w:pPr>
            <w:r w:rsidRPr="007A63E5">
              <w:rPr>
                <w:rFonts w:ascii="Calibri" w:eastAsia="標楷體" w:hAnsi="Calibri" w:hint="eastAsia"/>
                <w:color w:val="000000" w:themeColor="text1"/>
              </w:rPr>
              <w:t>針對呼吸系統相關疾病之基礎與臨床研究；如呼吸道疾病、肺感染及免疫疾病、肺原發或轉移性腫瘤、食道及縱膈腔腫瘤、肺移植、呼吸治療肺復原治療等</w:t>
            </w:r>
            <w:r w:rsidR="006C0A1A" w:rsidRPr="007A63E5">
              <w:rPr>
                <w:rFonts w:ascii="Calibri" w:eastAsia="標楷體" w:hAnsi="Calibri" w:hint="eastAsia"/>
                <w:color w:val="000000" w:themeColor="text1"/>
              </w:rPr>
              <w:t>疾病，</w:t>
            </w:r>
            <w:r w:rsidRPr="007A63E5">
              <w:rPr>
                <w:rFonts w:ascii="Calibri" w:eastAsia="標楷體" w:hAnsi="Calibri" w:hint="eastAsia"/>
                <w:color w:val="000000" w:themeColor="text1"/>
              </w:rPr>
              <w:t>研究其病理機轉、診斷、治療與預防等之科學。</w:t>
            </w:r>
          </w:p>
        </w:tc>
      </w:tr>
      <w:tr w:rsidR="007A63E5" w:rsidRPr="007A63E5" w:rsidTr="003C53FB">
        <w:trPr>
          <w:cantSplit/>
          <w:trHeight w:val="1233"/>
          <w:jc w:val="center"/>
        </w:trPr>
        <w:tc>
          <w:tcPr>
            <w:tcW w:w="3049" w:type="dxa"/>
            <w:vMerge/>
            <w:tcBorders>
              <w:left w:val="single" w:sz="4" w:space="0" w:color="auto"/>
              <w:right w:val="single" w:sz="4" w:space="0" w:color="auto"/>
            </w:tcBorders>
            <w:vAlign w:val="center"/>
          </w:tcPr>
          <w:p w:rsidR="00CB775E" w:rsidRPr="007A63E5" w:rsidRDefault="00CB775E" w:rsidP="00B82C09">
            <w:pPr>
              <w:jc w:val="center"/>
              <w:rPr>
                <w:rFonts w:ascii="Calibri" w:eastAsia="標楷體" w:hAnsi="Calibri"/>
                <w:b/>
                <w:color w:val="000000" w:themeColor="text1"/>
                <w:spacing w:val="-20"/>
                <w:sz w:val="28"/>
                <w:szCs w:val="28"/>
              </w:rPr>
            </w:pPr>
          </w:p>
        </w:tc>
        <w:tc>
          <w:tcPr>
            <w:tcW w:w="36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75E" w:rsidRPr="007A63E5" w:rsidRDefault="00CB775E" w:rsidP="00CB775E">
            <w:pPr>
              <w:spacing w:line="240" w:lineRule="exact"/>
              <w:rPr>
                <w:rFonts w:ascii="標楷體" w:eastAsia="標楷體" w:hAnsi="標楷體"/>
                <w:color w:val="000000" w:themeColor="text1"/>
                <w:sz w:val="26"/>
                <w:szCs w:val="26"/>
              </w:rPr>
            </w:pPr>
            <w:r w:rsidRPr="007A63E5">
              <w:rPr>
                <w:rFonts w:ascii="標楷體" w:eastAsia="標楷體" w:hAnsi="標楷體" w:hint="eastAsia"/>
                <w:color w:val="000000" w:themeColor="text1"/>
                <w:sz w:val="26"/>
                <w:szCs w:val="26"/>
              </w:rPr>
              <w:t>胸腔外</w:t>
            </w:r>
            <w:r w:rsidR="00B86278" w:rsidRPr="007A63E5">
              <w:rPr>
                <w:rFonts w:ascii="標楷體" w:eastAsia="標楷體" w:hAnsi="標楷體" w:hint="eastAsia"/>
                <w:color w:val="000000" w:themeColor="text1"/>
                <w:sz w:val="26"/>
                <w:szCs w:val="26"/>
              </w:rPr>
              <w:t>科</w:t>
            </w:r>
          </w:p>
        </w:tc>
        <w:tc>
          <w:tcPr>
            <w:tcW w:w="4229" w:type="dxa"/>
            <w:vMerge/>
            <w:tcBorders>
              <w:left w:val="single" w:sz="4" w:space="0" w:color="auto"/>
              <w:right w:val="single" w:sz="4" w:space="0" w:color="auto"/>
            </w:tcBorders>
            <w:vAlign w:val="center"/>
          </w:tcPr>
          <w:p w:rsidR="00CB775E" w:rsidRPr="007A63E5" w:rsidRDefault="00CB775E" w:rsidP="00955D24">
            <w:pPr>
              <w:jc w:val="both"/>
              <w:rPr>
                <w:rFonts w:ascii="Calibri" w:eastAsia="標楷體" w:hAnsi="Calibri"/>
                <w:color w:val="000000" w:themeColor="text1"/>
              </w:rPr>
            </w:pPr>
          </w:p>
        </w:tc>
      </w:tr>
      <w:tr w:rsidR="007A63E5" w:rsidRPr="007A63E5" w:rsidTr="003C53FB">
        <w:trPr>
          <w:cantSplit/>
          <w:trHeight w:val="720"/>
          <w:jc w:val="center"/>
        </w:trPr>
        <w:tc>
          <w:tcPr>
            <w:tcW w:w="3049" w:type="dxa"/>
            <w:vMerge w:val="restart"/>
            <w:tcBorders>
              <w:top w:val="single" w:sz="4" w:space="0" w:color="auto"/>
              <w:left w:val="single" w:sz="4" w:space="0" w:color="auto"/>
              <w:right w:val="single" w:sz="4" w:space="0" w:color="auto"/>
            </w:tcBorders>
            <w:vAlign w:val="center"/>
            <w:hideMark/>
          </w:tcPr>
          <w:p w:rsidR="00CB775E" w:rsidRPr="007A63E5" w:rsidRDefault="00CB775E" w:rsidP="00B82C09">
            <w:pPr>
              <w:jc w:val="center"/>
              <w:rPr>
                <w:rFonts w:ascii="Calibri" w:eastAsia="標楷體" w:hAnsi="Calibri"/>
                <w:b/>
                <w:color w:val="000000" w:themeColor="text1"/>
                <w:spacing w:val="-20"/>
                <w:sz w:val="28"/>
                <w:szCs w:val="28"/>
              </w:rPr>
            </w:pPr>
            <w:r w:rsidRPr="007A63E5">
              <w:rPr>
                <w:rFonts w:ascii="Calibri" w:eastAsia="標楷體" w:hAnsi="Calibri" w:hint="eastAsia"/>
                <w:b/>
                <w:color w:val="000000" w:themeColor="text1"/>
                <w:spacing w:val="-20"/>
                <w:sz w:val="28"/>
                <w:szCs w:val="28"/>
              </w:rPr>
              <w:t>神經醫學</w:t>
            </w:r>
          </w:p>
        </w:tc>
        <w:tc>
          <w:tcPr>
            <w:tcW w:w="36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hideMark/>
          </w:tcPr>
          <w:p w:rsidR="00CB775E" w:rsidRPr="007A63E5" w:rsidRDefault="00CB775E" w:rsidP="00CB775E">
            <w:pPr>
              <w:spacing w:line="240" w:lineRule="exact"/>
              <w:rPr>
                <w:rFonts w:ascii="標楷體" w:eastAsia="標楷體" w:hAnsi="標楷體"/>
                <w:color w:val="000000" w:themeColor="text1"/>
                <w:sz w:val="26"/>
                <w:szCs w:val="26"/>
              </w:rPr>
            </w:pPr>
            <w:r w:rsidRPr="007A63E5">
              <w:rPr>
                <w:rFonts w:ascii="標楷體" w:eastAsia="標楷體" w:hAnsi="標楷體" w:hint="eastAsia"/>
                <w:color w:val="000000" w:themeColor="text1"/>
                <w:sz w:val="26"/>
                <w:szCs w:val="26"/>
              </w:rPr>
              <w:t>神經內</w:t>
            </w:r>
            <w:r w:rsidR="00B86278" w:rsidRPr="007A63E5">
              <w:rPr>
                <w:rFonts w:ascii="標楷體" w:eastAsia="標楷體" w:hAnsi="標楷體" w:hint="eastAsia"/>
                <w:color w:val="000000" w:themeColor="text1"/>
                <w:sz w:val="26"/>
                <w:szCs w:val="26"/>
              </w:rPr>
              <w:t>科</w:t>
            </w:r>
          </w:p>
        </w:tc>
        <w:tc>
          <w:tcPr>
            <w:tcW w:w="4229" w:type="dxa"/>
            <w:vMerge w:val="restart"/>
            <w:tcBorders>
              <w:top w:val="single" w:sz="4" w:space="0" w:color="auto"/>
              <w:left w:val="single" w:sz="4" w:space="0" w:color="auto"/>
              <w:right w:val="single" w:sz="4" w:space="0" w:color="auto"/>
            </w:tcBorders>
            <w:vAlign w:val="center"/>
          </w:tcPr>
          <w:p w:rsidR="00CB775E" w:rsidRPr="007A63E5" w:rsidRDefault="00CB775E" w:rsidP="00955D24">
            <w:pPr>
              <w:jc w:val="both"/>
              <w:rPr>
                <w:rFonts w:ascii="Calibri" w:eastAsia="標楷體" w:hAnsi="Calibri"/>
                <w:color w:val="000000" w:themeColor="text1"/>
              </w:rPr>
            </w:pPr>
            <w:r w:rsidRPr="007A63E5">
              <w:rPr>
                <w:rFonts w:ascii="Calibri" w:eastAsia="標楷體" w:hAnsi="Calibri" w:hint="eastAsia"/>
                <w:color w:val="000000" w:themeColor="text1"/>
              </w:rPr>
              <w:t>針對神經系統以基礎、轉譯、臨床或流行病學為方法從事神經生理、腦科學、精神疾病、健康與疾病之神經功能探討。</w:t>
            </w:r>
            <w:r w:rsidR="006C0A1A" w:rsidRPr="007A63E5">
              <w:rPr>
                <w:rFonts w:ascii="Calibri" w:eastAsia="標楷體" w:hAnsi="Calibri" w:hint="eastAsia"/>
                <w:color w:val="000000" w:themeColor="text1"/>
              </w:rPr>
              <w:t>研究</w:t>
            </w:r>
            <w:r w:rsidRPr="007A63E5">
              <w:rPr>
                <w:rFonts w:ascii="Calibri" w:eastAsia="標楷體" w:hAnsi="Calibri" w:hint="eastAsia"/>
                <w:color w:val="000000" w:themeColor="text1"/>
              </w:rPr>
              <w:t>範圍涵蓋：神經發展與行為學、神經退化、聽語障礙、精神疾病、中風、藥物濫用、麻醉神經藥理等相關主題之研究。</w:t>
            </w:r>
          </w:p>
        </w:tc>
      </w:tr>
      <w:tr w:rsidR="007A63E5" w:rsidRPr="007A63E5" w:rsidTr="003C53FB">
        <w:trPr>
          <w:cantSplit/>
          <w:trHeight w:val="720"/>
          <w:jc w:val="center"/>
        </w:trPr>
        <w:tc>
          <w:tcPr>
            <w:tcW w:w="3049" w:type="dxa"/>
            <w:vMerge/>
            <w:tcBorders>
              <w:left w:val="single" w:sz="4" w:space="0" w:color="auto"/>
              <w:right w:val="single" w:sz="4" w:space="0" w:color="auto"/>
            </w:tcBorders>
            <w:vAlign w:val="center"/>
          </w:tcPr>
          <w:p w:rsidR="00CB775E" w:rsidRPr="007A63E5" w:rsidRDefault="00CB775E" w:rsidP="00B82C09">
            <w:pPr>
              <w:jc w:val="center"/>
              <w:rPr>
                <w:rFonts w:ascii="Calibri" w:eastAsia="標楷體" w:hAnsi="Calibri"/>
                <w:b/>
                <w:color w:val="000000" w:themeColor="text1"/>
                <w:spacing w:val="-20"/>
                <w:sz w:val="28"/>
                <w:szCs w:val="28"/>
              </w:rPr>
            </w:pPr>
          </w:p>
        </w:tc>
        <w:tc>
          <w:tcPr>
            <w:tcW w:w="36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75E" w:rsidRPr="007A63E5" w:rsidRDefault="00CB775E" w:rsidP="00CB775E">
            <w:pPr>
              <w:spacing w:line="240" w:lineRule="exact"/>
              <w:rPr>
                <w:rFonts w:ascii="標楷體" w:eastAsia="標楷體" w:hAnsi="標楷體"/>
                <w:color w:val="000000" w:themeColor="text1"/>
                <w:sz w:val="26"/>
                <w:szCs w:val="26"/>
              </w:rPr>
            </w:pPr>
            <w:r w:rsidRPr="007A63E5">
              <w:rPr>
                <w:rFonts w:ascii="標楷體" w:eastAsia="標楷體" w:hAnsi="標楷體" w:hint="eastAsia"/>
                <w:color w:val="000000" w:themeColor="text1"/>
                <w:sz w:val="26"/>
                <w:szCs w:val="26"/>
              </w:rPr>
              <w:t>神經外</w:t>
            </w:r>
            <w:r w:rsidR="00B86278" w:rsidRPr="007A63E5">
              <w:rPr>
                <w:rFonts w:ascii="標楷體" w:eastAsia="標楷體" w:hAnsi="標楷體" w:hint="eastAsia"/>
                <w:color w:val="000000" w:themeColor="text1"/>
                <w:sz w:val="26"/>
                <w:szCs w:val="26"/>
              </w:rPr>
              <w:t>科</w:t>
            </w:r>
          </w:p>
        </w:tc>
        <w:tc>
          <w:tcPr>
            <w:tcW w:w="4229" w:type="dxa"/>
            <w:vMerge/>
            <w:tcBorders>
              <w:left w:val="single" w:sz="4" w:space="0" w:color="auto"/>
              <w:right w:val="single" w:sz="4" w:space="0" w:color="auto"/>
            </w:tcBorders>
            <w:vAlign w:val="center"/>
          </w:tcPr>
          <w:p w:rsidR="00CB775E" w:rsidRPr="007A63E5" w:rsidRDefault="00CB775E" w:rsidP="00955D24">
            <w:pPr>
              <w:jc w:val="both"/>
              <w:rPr>
                <w:rFonts w:ascii="Calibri" w:eastAsia="標楷體" w:hAnsi="Calibri"/>
                <w:color w:val="000000" w:themeColor="text1"/>
              </w:rPr>
            </w:pPr>
          </w:p>
        </w:tc>
      </w:tr>
      <w:tr w:rsidR="007A63E5" w:rsidRPr="007A63E5" w:rsidTr="003C53FB">
        <w:trPr>
          <w:cantSplit/>
          <w:trHeight w:val="890"/>
          <w:jc w:val="center"/>
        </w:trPr>
        <w:tc>
          <w:tcPr>
            <w:tcW w:w="3049" w:type="dxa"/>
            <w:vMerge/>
            <w:tcBorders>
              <w:left w:val="single" w:sz="4" w:space="0" w:color="auto"/>
              <w:right w:val="single" w:sz="4" w:space="0" w:color="auto"/>
            </w:tcBorders>
            <w:vAlign w:val="center"/>
          </w:tcPr>
          <w:p w:rsidR="00CB775E" w:rsidRPr="007A63E5" w:rsidRDefault="00CB775E" w:rsidP="00B82C09">
            <w:pPr>
              <w:jc w:val="center"/>
              <w:rPr>
                <w:rFonts w:ascii="Calibri" w:eastAsia="標楷體" w:hAnsi="Calibri"/>
                <w:b/>
                <w:color w:val="000000" w:themeColor="text1"/>
                <w:spacing w:val="-20"/>
                <w:sz w:val="28"/>
                <w:szCs w:val="28"/>
              </w:rPr>
            </w:pPr>
          </w:p>
        </w:tc>
        <w:tc>
          <w:tcPr>
            <w:tcW w:w="36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75E" w:rsidRPr="007A63E5" w:rsidRDefault="00640D1A" w:rsidP="00CB775E">
            <w:pPr>
              <w:spacing w:line="240" w:lineRule="exact"/>
              <w:rPr>
                <w:rFonts w:ascii="標楷體" w:eastAsia="標楷體" w:hAnsi="標楷體"/>
                <w:color w:val="000000" w:themeColor="text1"/>
                <w:sz w:val="26"/>
                <w:szCs w:val="26"/>
              </w:rPr>
            </w:pPr>
            <w:r w:rsidRPr="007A63E5">
              <w:rPr>
                <w:rFonts w:ascii="標楷體" w:eastAsia="標楷體" w:hAnsi="標楷體" w:hint="eastAsia"/>
                <w:color w:val="000000" w:themeColor="text1"/>
                <w:sz w:val="26"/>
                <w:szCs w:val="26"/>
              </w:rPr>
              <w:t>麻醉</w:t>
            </w:r>
          </w:p>
        </w:tc>
        <w:tc>
          <w:tcPr>
            <w:tcW w:w="4229" w:type="dxa"/>
            <w:vMerge/>
            <w:tcBorders>
              <w:left w:val="single" w:sz="4" w:space="0" w:color="auto"/>
              <w:right w:val="single" w:sz="4" w:space="0" w:color="auto"/>
            </w:tcBorders>
            <w:vAlign w:val="center"/>
          </w:tcPr>
          <w:p w:rsidR="00CB775E" w:rsidRPr="007A63E5" w:rsidRDefault="00CB775E" w:rsidP="00955D24">
            <w:pPr>
              <w:jc w:val="both"/>
              <w:rPr>
                <w:rFonts w:ascii="Calibri" w:eastAsia="標楷體" w:hAnsi="Calibri"/>
                <w:color w:val="000000" w:themeColor="text1"/>
              </w:rPr>
            </w:pPr>
          </w:p>
        </w:tc>
      </w:tr>
      <w:tr w:rsidR="007A63E5" w:rsidRPr="007A63E5" w:rsidTr="003C53FB">
        <w:trPr>
          <w:cantSplit/>
          <w:trHeight w:val="960"/>
          <w:jc w:val="center"/>
        </w:trPr>
        <w:tc>
          <w:tcPr>
            <w:tcW w:w="3049" w:type="dxa"/>
            <w:vMerge w:val="restart"/>
            <w:tcBorders>
              <w:top w:val="single" w:sz="4" w:space="0" w:color="auto"/>
              <w:left w:val="single" w:sz="4" w:space="0" w:color="auto"/>
              <w:right w:val="single" w:sz="4" w:space="0" w:color="auto"/>
            </w:tcBorders>
            <w:vAlign w:val="center"/>
          </w:tcPr>
          <w:p w:rsidR="00C915DE" w:rsidRPr="007A63E5" w:rsidRDefault="007F0B9F" w:rsidP="00B82C09">
            <w:pPr>
              <w:jc w:val="center"/>
              <w:rPr>
                <w:rFonts w:ascii="Calibri" w:eastAsia="標楷體" w:hAnsi="Calibri"/>
                <w:b/>
                <w:color w:val="000000" w:themeColor="text1"/>
                <w:spacing w:val="-20"/>
                <w:sz w:val="28"/>
                <w:szCs w:val="28"/>
              </w:rPr>
            </w:pPr>
            <w:r w:rsidRPr="007A63E5">
              <w:rPr>
                <w:rFonts w:ascii="Calibri" w:eastAsia="標楷體" w:hAnsi="Calibri" w:hint="eastAsia"/>
                <w:b/>
                <w:color w:val="000000" w:themeColor="text1"/>
                <w:spacing w:val="-20"/>
                <w:sz w:val="28"/>
                <w:szCs w:val="28"/>
              </w:rPr>
              <w:t>婦幼</w:t>
            </w:r>
            <w:r w:rsidR="00C915DE" w:rsidRPr="007A63E5">
              <w:rPr>
                <w:rFonts w:ascii="Calibri" w:eastAsia="標楷體" w:hAnsi="Calibri" w:hint="eastAsia"/>
                <w:b/>
                <w:color w:val="000000" w:themeColor="text1"/>
                <w:spacing w:val="-20"/>
                <w:sz w:val="28"/>
                <w:szCs w:val="28"/>
              </w:rPr>
              <w:t>醫學</w:t>
            </w:r>
          </w:p>
        </w:tc>
        <w:tc>
          <w:tcPr>
            <w:tcW w:w="36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915DE" w:rsidRPr="007A63E5" w:rsidRDefault="00C915DE" w:rsidP="0023301F">
            <w:pPr>
              <w:spacing w:line="240" w:lineRule="exact"/>
              <w:rPr>
                <w:rFonts w:ascii="標楷體" w:eastAsia="標楷體" w:hAnsi="標楷體"/>
                <w:color w:val="000000" w:themeColor="text1"/>
                <w:sz w:val="26"/>
                <w:szCs w:val="26"/>
              </w:rPr>
            </w:pPr>
            <w:r w:rsidRPr="007A63E5">
              <w:rPr>
                <w:rFonts w:ascii="標楷體" w:eastAsia="標楷體" w:hAnsi="標楷體" w:hint="eastAsia"/>
                <w:color w:val="000000" w:themeColor="text1"/>
                <w:sz w:val="26"/>
                <w:szCs w:val="26"/>
              </w:rPr>
              <w:t>婦產</w:t>
            </w:r>
            <w:r w:rsidR="007F0B9F" w:rsidRPr="007A63E5">
              <w:rPr>
                <w:rFonts w:ascii="標楷體" w:eastAsia="標楷體" w:hAnsi="標楷體" w:hint="eastAsia"/>
                <w:color w:val="000000" w:themeColor="text1"/>
                <w:sz w:val="26"/>
                <w:szCs w:val="26"/>
              </w:rPr>
              <w:t>醫學</w:t>
            </w:r>
          </w:p>
        </w:tc>
        <w:tc>
          <w:tcPr>
            <w:tcW w:w="4229" w:type="dxa"/>
            <w:vMerge w:val="restart"/>
            <w:tcBorders>
              <w:top w:val="single" w:sz="4" w:space="0" w:color="auto"/>
              <w:left w:val="single" w:sz="4" w:space="0" w:color="auto"/>
              <w:right w:val="single" w:sz="4" w:space="0" w:color="auto"/>
            </w:tcBorders>
            <w:vAlign w:val="center"/>
          </w:tcPr>
          <w:p w:rsidR="00C915DE" w:rsidRPr="007A63E5" w:rsidRDefault="00C915DE" w:rsidP="001D090F">
            <w:pPr>
              <w:jc w:val="both"/>
              <w:rPr>
                <w:rFonts w:ascii="Calibri" w:eastAsia="標楷體" w:hAnsi="Calibri"/>
                <w:color w:val="000000" w:themeColor="text1"/>
              </w:rPr>
            </w:pPr>
            <w:r w:rsidRPr="007A63E5">
              <w:rPr>
                <w:rFonts w:ascii="Calibri" w:eastAsia="標楷體" w:hAnsi="Calibri" w:hint="eastAsia"/>
                <w:color w:val="000000" w:themeColor="text1"/>
              </w:rPr>
              <w:t>針對</w:t>
            </w:r>
            <w:r w:rsidR="007F0B9F" w:rsidRPr="007A63E5">
              <w:rPr>
                <w:rFonts w:ascii="Calibri" w:eastAsia="標楷體" w:hAnsi="Calibri" w:hint="eastAsia"/>
                <w:color w:val="000000" w:themeColor="text1"/>
              </w:rPr>
              <w:t>婦女及小兒</w:t>
            </w:r>
            <w:r w:rsidRPr="007A63E5">
              <w:rPr>
                <w:rFonts w:ascii="Calibri" w:eastAsia="標楷體" w:hAnsi="Calibri" w:hint="eastAsia"/>
                <w:color w:val="000000" w:themeColor="text1"/>
              </w:rPr>
              <w:t>相關疾病；如</w:t>
            </w:r>
            <w:r w:rsidR="001D090F" w:rsidRPr="007A63E5">
              <w:rPr>
                <w:rFonts w:ascii="Calibri" w:eastAsia="標楷體" w:hAnsi="Calibri" w:hint="eastAsia"/>
                <w:color w:val="000000" w:themeColor="text1"/>
              </w:rPr>
              <w:t>腫瘤、內分泌、</w:t>
            </w:r>
            <w:r w:rsidRPr="007A63E5">
              <w:rPr>
                <w:rFonts w:ascii="Calibri" w:eastAsia="標楷體" w:hAnsi="Calibri" w:hint="eastAsia"/>
                <w:color w:val="000000" w:themeColor="text1"/>
              </w:rPr>
              <w:t>不孕症、</w:t>
            </w:r>
            <w:r w:rsidR="001D090F" w:rsidRPr="007A63E5">
              <w:rPr>
                <w:rFonts w:ascii="Calibri" w:eastAsia="標楷體" w:hAnsi="Calibri" w:hint="eastAsia"/>
                <w:color w:val="000000" w:themeColor="text1"/>
              </w:rPr>
              <w:t>更年期、</w:t>
            </w:r>
            <w:r w:rsidR="00E92BC9" w:rsidRPr="007A63E5">
              <w:rPr>
                <w:rFonts w:ascii="Calibri" w:eastAsia="標楷體" w:hAnsi="Calibri" w:hint="eastAsia"/>
                <w:color w:val="000000" w:themeColor="text1"/>
              </w:rPr>
              <w:t>產前</w:t>
            </w:r>
            <w:r w:rsidR="00BD4A95" w:rsidRPr="007A63E5">
              <w:rPr>
                <w:rFonts w:ascii="Calibri" w:eastAsia="標楷體" w:hAnsi="Calibri" w:hint="eastAsia"/>
                <w:color w:val="000000" w:themeColor="text1"/>
              </w:rPr>
              <w:t>、週產期</w:t>
            </w:r>
            <w:r w:rsidR="00E92BC9" w:rsidRPr="007A63E5">
              <w:rPr>
                <w:rFonts w:ascii="Calibri" w:eastAsia="標楷體" w:hAnsi="Calibri" w:hint="eastAsia"/>
                <w:color w:val="000000" w:themeColor="text1"/>
              </w:rPr>
              <w:t>及</w:t>
            </w:r>
            <w:r w:rsidR="00BD4A95" w:rsidRPr="007A63E5">
              <w:rPr>
                <w:rFonts w:ascii="Calibri" w:eastAsia="標楷體" w:hAnsi="Calibri" w:hint="eastAsia"/>
                <w:color w:val="000000" w:themeColor="text1"/>
              </w:rPr>
              <w:t>新生兒、兒童成長與發育</w:t>
            </w:r>
            <w:r w:rsidR="00015816" w:rsidRPr="007A63E5">
              <w:rPr>
                <w:rFonts w:ascii="Calibri" w:eastAsia="標楷體" w:hAnsi="Calibri" w:hint="eastAsia"/>
                <w:color w:val="000000" w:themeColor="text1"/>
              </w:rPr>
              <w:t>、遺傳</w:t>
            </w:r>
            <w:r w:rsidR="001D090F" w:rsidRPr="007A63E5">
              <w:rPr>
                <w:rFonts w:ascii="Calibri" w:eastAsia="標楷體" w:hAnsi="Calibri" w:hint="eastAsia"/>
                <w:color w:val="000000" w:themeColor="text1"/>
              </w:rPr>
              <w:t>、兒童及青少年疾病</w:t>
            </w:r>
            <w:r w:rsidR="007F0B9F" w:rsidRPr="007A63E5">
              <w:rPr>
                <w:rFonts w:ascii="Calibri" w:eastAsia="標楷體" w:hAnsi="Calibri" w:hint="eastAsia"/>
                <w:color w:val="000000" w:themeColor="text1"/>
              </w:rPr>
              <w:t>等</w:t>
            </w:r>
            <w:r w:rsidRPr="007A63E5">
              <w:rPr>
                <w:rFonts w:ascii="Calibri" w:eastAsia="標楷體" w:hAnsi="Calibri" w:hint="eastAsia"/>
                <w:color w:val="000000" w:themeColor="text1"/>
              </w:rPr>
              <w:t>，研究其病理機轉、診斷、治療與預防之科學。</w:t>
            </w:r>
            <w:r w:rsidRPr="007A63E5">
              <w:rPr>
                <w:rFonts w:ascii="Calibri" w:eastAsia="標楷體" w:hAnsi="Calibri" w:hint="eastAsia"/>
                <w:color w:val="000000" w:themeColor="text1"/>
              </w:rPr>
              <w:t xml:space="preserve"> </w:t>
            </w:r>
          </w:p>
        </w:tc>
      </w:tr>
      <w:tr w:rsidR="007A63E5" w:rsidRPr="007A63E5" w:rsidTr="003C53FB">
        <w:trPr>
          <w:cantSplit/>
          <w:trHeight w:val="746"/>
          <w:jc w:val="center"/>
        </w:trPr>
        <w:tc>
          <w:tcPr>
            <w:tcW w:w="3049" w:type="dxa"/>
            <w:vMerge/>
            <w:tcBorders>
              <w:left w:val="single" w:sz="4" w:space="0" w:color="auto"/>
              <w:right w:val="single" w:sz="4" w:space="0" w:color="auto"/>
            </w:tcBorders>
            <w:vAlign w:val="center"/>
            <w:hideMark/>
          </w:tcPr>
          <w:p w:rsidR="00C915DE" w:rsidRPr="007A63E5" w:rsidRDefault="00C915DE" w:rsidP="00B82C09">
            <w:pPr>
              <w:jc w:val="center"/>
              <w:rPr>
                <w:rFonts w:ascii="Calibri" w:eastAsia="標楷體" w:hAnsi="Calibri"/>
                <w:b/>
                <w:color w:val="000000" w:themeColor="text1"/>
                <w:spacing w:val="-20"/>
                <w:sz w:val="28"/>
                <w:szCs w:val="28"/>
              </w:rPr>
            </w:pPr>
          </w:p>
        </w:tc>
        <w:tc>
          <w:tcPr>
            <w:tcW w:w="36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hideMark/>
          </w:tcPr>
          <w:p w:rsidR="00C915DE" w:rsidRPr="007A63E5" w:rsidRDefault="007F0B9F" w:rsidP="0023301F">
            <w:pPr>
              <w:spacing w:line="240" w:lineRule="exact"/>
              <w:rPr>
                <w:rFonts w:ascii="標楷體" w:eastAsia="標楷體" w:hAnsi="標楷體"/>
                <w:color w:val="000000" w:themeColor="text1"/>
                <w:sz w:val="26"/>
                <w:szCs w:val="26"/>
              </w:rPr>
            </w:pPr>
            <w:r w:rsidRPr="007A63E5">
              <w:rPr>
                <w:rFonts w:ascii="標楷體" w:eastAsia="標楷體" w:hAnsi="標楷體" w:hint="eastAsia"/>
                <w:color w:val="000000" w:themeColor="text1"/>
                <w:sz w:val="26"/>
                <w:szCs w:val="26"/>
              </w:rPr>
              <w:t>小</w:t>
            </w:r>
            <w:r w:rsidR="00C915DE" w:rsidRPr="007A63E5">
              <w:rPr>
                <w:rFonts w:ascii="標楷體" w:eastAsia="標楷體" w:hAnsi="標楷體" w:hint="eastAsia"/>
                <w:color w:val="000000" w:themeColor="text1"/>
                <w:sz w:val="26"/>
                <w:szCs w:val="26"/>
              </w:rPr>
              <w:t>兒醫學</w:t>
            </w:r>
          </w:p>
        </w:tc>
        <w:tc>
          <w:tcPr>
            <w:tcW w:w="4229" w:type="dxa"/>
            <w:vMerge/>
            <w:tcBorders>
              <w:left w:val="single" w:sz="4" w:space="0" w:color="auto"/>
              <w:right w:val="single" w:sz="4" w:space="0" w:color="auto"/>
            </w:tcBorders>
            <w:vAlign w:val="center"/>
          </w:tcPr>
          <w:p w:rsidR="00C915DE" w:rsidRPr="007A63E5" w:rsidRDefault="00C915DE" w:rsidP="00955D24">
            <w:pPr>
              <w:jc w:val="both"/>
              <w:rPr>
                <w:rFonts w:ascii="Calibri" w:eastAsia="標楷體" w:hAnsi="Calibri"/>
                <w:b/>
                <w:color w:val="000000" w:themeColor="text1"/>
              </w:rPr>
            </w:pPr>
          </w:p>
        </w:tc>
      </w:tr>
      <w:tr w:rsidR="007A63E5" w:rsidRPr="007A63E5" w:rsidTr="003C53FB">
        <w:trPr>
          <w:cantSplit/>
          <w:trHeight w:val="720"/>
          <w:jc w:val="center"/>
        </w:trPr>
        <w:tc>
          <w:tcPr>
            <w:tcW w:w="3049" w:type="dxa"/>
            <w:vMerge w:val="restart"/>
            <w:tcBorders>
              <w:top w:val="single" w:sz="4" w:space="0" w:color="auto"/>
              <w:left w:val="single" w:sz="4" w:space="0" w:color="auto"/>
              <w:right w:val="single" w:sz="4" w:space="0" w:color="auto"/>
            </w:tcBorders>
            <w:vAlign w:val="center"/>
            <w:hideMark/>
          </w:tcPr>
          <w:p w:rsidR="00640D1A" w:rsidRPr="007A63E5" w:rsidRDefault="00640D1A" w:rsidP="00B82C09">
            <w:pPr>
              <w:jc w:val="center"/>
              <w:rPr>
                <w:rFonts w:ascii="Calibri" w:eastAsia="標楷體" w:hAnsi="Calibri"/>
                <w:b/>
                <w:color w:val="000000" w:themeColor="text1"/>
                <w:spacing w:val="-20"/>
                <w:sz w:val="28"/>
                <w:szCs w:val="28"/>
              </w:rPr>
            </w:pPr>
            <w:r w:rsidRPr="007A63E5">
              <w:rPr>
                <w:rFonts w:ascii="Calibri" w:eastAsia="標楷體" w:hAnsi="Calibri" w:hint="eastAsia"/>
                <w:b/>
                <w:color w:val="000000" w:themeColor="text1"/>
                <w:spacing w:val="-20"/>
                <w:sz w:val="28"/>
                <w:szCs w:val="28"/>
              </w:rPr>
              <w:t>血液免疫醫學</w:t>
            </w:r>
          </w:p>
        </w:tc>
        <w:tc>
          <w:tcPr>
            <w:tcW w:w="36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hideMark/>
          </w:tcPr>
          <w:p w:rsidR="00640D1A" w:rsidRPr="007A63E5" w:rsidRDefault="00640D1A" w:rsidP="00B86278">
            <w:pPr>
              <w:spacing w:line="240" w:lineRule="exact"/>
              <w:rPr>
                <w:rFonts w:ascii="標楷體" w:eastAsia="標楷體" w:hAnsi="標楷體"/>
                <w:color w:val="000000" w:themeColor="text1"/>
                <w:sz w:val="26"/>
                <w:szCs w:val="26"/>
              </w:rPr>
            </w:pPr>
            <w:r w:rsidRPr="007A63E5">
              <w:rPr>
                <w:rFonts w:ascii="標楷體" w:eastAsia="標楷體" w:hAnsi="標楷體" w:hint="eastAsia"/>
                <w:color w:val="000000" w:themeColor="text1"/>
                <w:sz w:val="26"/>
                <w:szCs w:val="26"/>
              </w:rPr>
              <w:t>血液</w:t>
            </w:r>
          </w:p>
        </w:tc>
        <w:tc>
          <w:tcPr>
            <w:tcW w:w="4229" w:type="dxa"/>
            <w:vMerge w:val="restart"/>
            <w:tcBorders>
              <w:top w:val="single" w:sz="4" w:space="0" w:color="auto"/>
              <w:left w:val="single" w:sz="4" w:space="0" w:color="auto"/>
              <w:right w:val="single" w:sz="4" w:space="0" w:color="auto"/>
            </w:tcBorders>
            <w:vAlign w:val="center"/>
          </w:tcPr>
          <w:p w:rsidR="00640D1A" w:rsidRPr="007A63E5" w:rsidRDefault="00640D1A" w:rsidP="001D090F">
            <w:pPr>
              <w:pStyle w:val="a9"/>
              <w:jc w:val="both"/>
              <w:rPr>
                <w:rFonts w:eastAsia="標楷體" w:hAnsi="Calibri"/>
                <w:color w:val="000000" w:themeColor="text1"/>
              </w:rPr>
            </w:pPr>
            <w:r w:rsidRPr="007A63E5">
              <w:rPr>
                <w:rFonts w:eastAsia="標楷體" w:hAnsi="Calibri" w:cs="Times New Roman" w:hint="eastAsia"/>
                <w:color w:val="000000" w:themeColor="text1"/>
              </w:rPr>
              <w:t>針對血液及腫瘤疾病、免疫及風濕疾病、各種感染症等，從基礎、轉譯到臨床研究，包括致病機轉、代謝、免疫、發炎反應及微環境與標的細胞或病原體之交互作用等，</w:t>
            </w:r>
            <w:r w:rsidRPr="007A63E5">
              <w:rPr>
                <w:rFonts w:eastAsia="標楷體" w:hAnsi="Calibri" w:hint="eastAsia"/>
                <w:color w:val="000000" w:themeColor="text1"/>
              </w:rPr>
              <w:t>研究其病理機轉、診斷、治療與預防之科學。</w:t>
            </w:r>
            <w:r w:rsidRPr="007A63E5">
              <w:rPr>
                <w:rFonts w:eastAsia="標楷體" w:hAnsi="Calibri" w:hint="eastAsia"/>
                <w:color w:val="000000" w:themeColor="text1"/>
              </w:rPr>
              <w:t xml:space="preserve"> </w:t>
            </w:r>
          </w:p>
        </w:tc>
      </w:tr>
      <w:tr w:rsidR="007A63E5" w:rsidRPr="007A63E5" w:rsidTr="003C53FB">
        <w:trPr>
          <w:cantSplit/>
          <w:trHeight w:val="720"/>
          <w:jc w:val="center"/>
        </w:trPr>
        <w:tc>
          <w:tcPr>
            <w:tcW w:w="3049" w:type="dxa"/>
            <w:vMerge/>
            <w:tcBorders>
              <w:left w:val="single" w:sz="4" w:space="0" w:color="auto"/>
              <w:right w:val="single" w:sz="4" w:space="0" w:color="auto"/>
            </w:tcBorders>
            <w:vAlign w:val="center"/>
          </w:tcPr>
          <w:p w:rsidR="00640D1A" w:rsidRPr="007A63E5" w:rsidRDefault="00640D1A" w:rsidP="00B82C09">
            <w:pPr>
              <w:jc w:val="center"/>
              <w:rPr>
                <w:rFonts w:ascii="Calibri" w:eastAsia="標楷體" w:hAnsi="Calibri"/>
                <w:b/>
                <w:color w:val="000000" w:themeColor="text1"/>
                <w:spacing w:val="-20"/>
                <w:sz w:val="28"/>
                <w:szCs w:val="28"/>
              </w:rPr>
            </w:pPr>
          </w:p>
        </w:tc>
        <w:tc>
          <w:tcPr>
            <w:tcW w:w="36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40D1A" w:rsidRPr="007A63E5" w:rsidRDefault="00640D1A" w:rsidP="00B86278">
            <w:pPr>
              <w:spacing w:line="240" w:lineRule="exact"/>
              <w:rPr>
                <w:rFonts w:ascii="標楷體" w:eastAsia="標楷體" w:hAnsi="標楷體"/>
                <w:color w:val="000000" w:themeColor="text1"/>
                <w:sz w:val="26"/>
                <w:szCs w:val="26"/>
              </w:rPr>
            </w:pPr>
            <w:r w:rsidRPr="007A63E5">
              <w:rPr>
                <w:rFonts w:ascii="標楷體" w:eastAsia="標楷體" w:hAnsi="標楷體" w:hint="eastAsia"/>
                <w:color w:val="000000" w:themeColor="text1"/>
                <w:sz w:val="26"/>
                <w:szCs w:val="26"/>
              </w:rPr>
              <w:t>腫瘤</w:t>
            </w:r>
          </w:p>
        </w:tc>
        <w:tc>
          <w:tcPr>
            <w:tcW w:w="4229" w:type="dxa"/>
            <w:vMerge/>
            <w:tcBorders>
              <w:left w:val="single" w:sz="4" w:space="0" w:color="auto"/>
              <w:right w:val="single" w:sz="4" w:space="0" w:color="auto"/>
            </w:tcBorders>
            <w:vAlign w:val="center"/>
          </w:tcPr>
          <w:p w:rsidR="00640D1A" w:rsidRPr="007A63E5" w:rsidRDefault="00640D1A" w:rsidP="00955D24">
            <w:pPr>
              <w:pStyle w:val="a9"/>
              <w:jc w:val="both"/>
              <w:rPr>
                <w:rFonts w:eastAsia="標楷體" w:hAnsi="Calibri" w:cs="Times New Roman"/>
                <w:color w:val="000000" w:themeColor="text1"/>
              </w:rPr>
            </w:pPr>
          </w:p>
        </w:tc>
      </w:tr>
      <w:tr w:rsidR="007A63E5" w:rsidRPr="007A63E5" w:rsidTr="003C53FB">
        <w:trPr>
          <w:cantSplit/>
          <w:trHeight w:val="720"/>
          <w:jc w:val="center"/>
        </w:trPr>
        <w:tc>
          <w:tcPr>
            <w:tcW w:w="3049" w:type="dxa"/>
            <w:vMerge/>
            <w:tcBorders>
              <w:left w:val="single" w:sz="4" w:space="0" w:color="auto"/>
              <w:right w:val="single" w:sz="4" w:space="0" w:color="auto"/>
            </w:tcBorders>
            <w:vAlign w:val="center"/>
          </w:tcPr>
          <w:p w:rsidR="00640D1A" w:rsidRPr="007A63E5" w:rsidRDefault="00640D1A" w:rsidP="00B82C09">
            <w:pPr>
              <w:jc w:val="center"/>
              <w:rPr>
                <w:rFonts w:ascii="Calibri" w:eastAsia="標楷體" w:hAnsi="Calibri"/>
                <w:b/>
                <w:color w:val="000000" w:themeColor="text1"/>
                <w:spacing w:val="-20"/>
                <w:sz w:val="28"/>
                <w:szCs w:val="28"/>
              </w:rPr>
            </w:pPr>
          </w:p>
        </w:tc>
        <w:tc>
          <w:tcPr>
            <w:tcW w:w="36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40D1A" w:rsidRPr="007A63E5" w:rsidRDefault="00640D1A" w:rsidP="00CB775E">
            <w:pPr>
              <w:spacing w:line="240" w:lineRule="exact"/>
              <w:rPr>
                <w:rFonts w:ascii="標楷體" w:eastAsia="標楷體" w:hAnsi="標楷體"/>
                <w:color w:val="000000" w:themeColor="text1"/>
                <w:sz w:val="26"/>
                <w:szCs w:val="26"/>
              </w:rPr>
            </w:pPr>
            <w:r w:rsidRPr="007A63E5">
              <w:rPr>
                <w:rFonts w:ascii="標楷體" w:eastAsia="標楷體" w:hAnsi="標楷體" w:hint="eastAsia"/>
                <w:color w:val="000000" w:themeColor="text1"/>
                <w:sz w:val="26"/>
                <w:szCs w:val="26"/>
              </w:rPr>
              <w:t>風濕免疫</w:t>
            </w:r>
          </w:p>
        </w:tc>
        <w:tc>
          <w:tcPr>
            <w:tcW w:w="4229" w:type="dxa"/>
            <w:vMerge/>
            <w:tcBorders>
              <w:left w:val="single" w:sz="4" w:space="0" w:color="auto"/>
              <w:right w:val="single" w:sz="4" w:space="0" w:color="auto"/>
            </w:tcBorders>
            <w:vAlign w:val="center"/>
          </w:tcPr>
          <w:p w:rsidR="00640D1A" w:rsidRPr="007A63E5" w:rsidRDefault="00640D1A" w:rsidP="00955D24">
            <w:pPr>
              <w:pStyle w:val="a9"/>
              <w:jc w:val="both"/>
              <w:rPr>
                <w:rFonts w:eastAsia="標楷體" w:hAnsi="Calibri" w:cs="Times New Roman"/>
                <w:color w:val="000000" w:themeColor="text1"/>
              </w:rPr>
            </w:pPr>
          </w:p>
        </w:tc>
      </w:tr>
      <w:tr w:rsidR="007A63E5" w:rsidRPr="007A63E5" w:rsidTr="003C53FB">
        <w:trPr>
          <w:cantSplit/>
          <w:trHeight w:val="758"/>
          <w:jc w:val="center"/>
        </w:trPr>
        <w:tc>
          <w:tcPr>
            <w:tcW w:w="3049" w:type="dxa"/>
            <w:vMerge/>
            <w:tcBorders>
              <w:left w:val="single" w:sz="4" w:space="0" w:color="auto"/>
              <w:right w:val="single" w:sz="4" w:space="0" w:color="auto"/>
            </w:tcBorders>
            <w:vAlign w:val="center"/>
          </w:tcPr>
          <w:p w:rsidR="00640D1A" w:rsidRPr="007A63E5" w:rsidRDefault="00640D1A" w:rsidP="00B82C09">
            <w:pPr>
              <w:jc w:val="center"/>
              <w:rPr>
                <w:rFonts w:ascii="Calibri" w:eastAsia="標楷體" w:hAnsi="Calibri"/>
                <w:b/>
                <w:color w:val="000000" w:themeColor="text1"/>
                <w:spacing w:val="-20"/>
                <w:sz w:val="28"/>
                <w:szCs w:val="28"/>
              </w:rPr>
            </w:pPr>
          </w:p>
        </w:tc>
        <w:tc>
          <w:tcPr>
            <w:tcW w:w="36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40D1A" w:rsidRPr="007A63E5" w:rsidRDefault="00640D1A" w:rsidP="00B86278">
            <w:pPr>
              <w:spacing w:line="240" w:lineRule="exact"/>
              <w:rPr>
                <w:rFonts w:ascii="標楷體" w:eastAsia="標楷體" w:hAnsi="標楷體"/>
                <w:color w:val="000000" w:themeColor="text1"/>
                <w:sz w:val="26"/>
                <w:szCs w:val="26"/>
              </w:rPr>
            </w:pPr>
            <w:r w:rsidRPr="007A63E5">
              <w:rPr>
                <w:rFonts w:ascii="標楷體" w:eastAsia="標楷體" w:hAnsi="標楷體" w:hint="eastAsia"/>
                <w:color w:val="000000" w:themeColor="text1"/>
                <w:sz w:val="26"/>
                <w:szCs w:val="26"/>
              </w:rPr>
              <w:t>感染</w:t>
            </w:r>
          </w:p>
        </w:tc>
        <w:tc>
          <w:tcPr>
            <w:tcW w:w="4229" w:type="dxa"/>
            <w:vMerge/>
            <w:tcBorders>
              <w:left w:val="single" w:sz="4" w:space="0" w:color="auto"/>
              <w:right w:val="single" w:sz="4" w:space="0" w:color="auto"/>
            </w:tcBorders>
            <w:vAlign w:val="center"/>
          </w:tcPr>
          <w:p w:rsidR="00640D1A" w:rsidRPr="007A63E5" w:rsidRDefault="00640D1A" w:rsidP="00955D24">
            <w:pPr>
              <w:pStyle w:val="a9"/>
              <w:jc w:val="both"/>
              <w:rPr>
                <w:rFonts w:eastAsia="標楷體" w:hAnsi="Calibri" w:cs="Times New Roman"/>
                <w:color w:val="000000" w:themeColor="text1"/>
              </w:rPr>
            </w:pPr>
          </w:p>
        </w:tc>
      </w:tr>
      <w:tr w:rsidR="007A63E5" w:rsidRPr="007A63E5" w:rsidTr="003C53FB">
        <w:trPr>
          <w:cantSplit/>
          <w:trHeight w:val="968"/>
          <w:jc w:val="center"/>
        </w:trPr>
        <w:tc>
          <w:tcPr>
            <w:tcW w:w="3049" w:type="dxa"/>
            <w:vMerge w:val="restart"/>
            <w:tcBorders>
              <w:top w:val="single" w:sz="4" w:space="0" w:color="auto"/>
              <w:left w:val="single" w:sz="4" w:space="0" w:color="auto"/>
              <w:right w:val="single" w:sz="4" w:space="0" w:color="auto"/>
            </w:tcBorders>
            <w:vAlign w:val="center"/>
            <w:hideMark/>
          </w:tcPr>
          <w:p w:rsidR="00640D1A" w:rsidRPr="007A63E5" w:rsidRDefault="00EB19B2" w:rsidP="00EB19B2">
            <w:pPr>
              <w:jc w:val="center"/>
              <w:rPr>
                <w:rFonts w:ascii="Calibri" w:eastAsia="標楷體" w:hAnsi="Calibri"/>
                <w:b/>
                <w:color w:val="000000" w:themeColor="text1"/>
                <w:spacing w:val="-20"/>
                <w:sz w:val="28"/>
                <w:szCs w:val="28"/>
              </w:rPr>
            </w:pPr>
            <w:r w:rsidRPr="007A63E5">
              <w:rPr>
                <w:rFonts w:ascii="標楷體" w:eastAsia="標楷體" w:hAnsi="標楷體" w:hint="eastAsia"/>
                <w:b/>
                <w:color w:val="000000" w:themeColor="text1"/>
                <w:sz w:val="26"/>
                <w:szCs w:val="26"/>
              </w:rPr>
              <w:t>腎臟</w:t>
            </w:r>
            <w:r w:rsidR="007F0B9F" w:rsidRPr="007A63E5">
              <w:rPr>
                <w:rFonts w:ascii="Calibri" w:eastAsia="標楷體" w:hAnsi="Calibri" w:hint="eastAsia"/>
                <w:b/>
                <w:color w:val="000000" w:themeColor="text1"/>
                <w:sz w:val="28"/>
                <w:szCs w:val="28"/>
              </w:rPr>
              <w:t>、</w:t>
            </w:r>
            <w:r w:rsidRPr="007A63E5">
              <w:rPr>
                <w:rFonts w:ascii="標楷體" w:eastAsia="標楷體" w:hAnsi="標楷體" w:hint="eastAsia"/>
                <w:b/>
                <w:color w:val="000000" w:themeColor="text1"/>
                <w:sz w:val="26"/>
                <w:szCs w:val="26"/>
              </w:rPr>
              <w:t>泌尿及</w:t>
            </w:r>
            <w:r w:rsidR="00640D1A" w:rsidRPr="007A63E5">
              <w:rPr>
                <w:rFonts w:ascii="Calibri" w:eastAsia="標楷體" w:hAnsi="Calibri" w:hint="eastAsia"/>
                <w:b/>
                <w:color w:val="000000" w:themeColor="text1"/>
                <w:sz w:val="28"/>
                <w:szCs w:val="28"/>
              </w:rPr>
              <w:t>內分泌醫學</w:t>
            </w:r>
          </w:p>
        </w:tc>
        <w:tc>
          <w:tcPr>
            <w:tcW w:w="36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hideMark/>
          </w:tcPr>
          <w:p w:rsidR="00640D1A" w:rsidRPr="007A63E5" w:rsidRDefault="00640D1A" w:rsidP="00EB19B2">
            <w:pPr>
              <w:spacing w:line="240" w:lineRule="exact"/>
              <w:rPr>
                <w:rFonts w:ascii="標楷體" w:eastAsia="標楷體" w:hAnsi="標楷體"/>
                <w:color w:val="000000" w:themeColor="text1"/>
                <w:sz w:val="26"/>
                <w:szCs w:val="26"/>
              </w:rPr>
            </w:pPr>
            <w:r w:rsidRPr="007A63E5">
              <w:rPr>
                <w:rFonts w:ascii="標楷體" w:eastAsia="標楷體" w:hAnsi="標楷體" w:hint="eastAsia"/>
                <w:color w:val="000000" w:themeColor="text1"/>
                <w:sz w:val="26"/>
                <w:szCs w:val="26"/>
              </w:rPr>
              <w:t>腎臟</w:t>
            </w:r>
          </w:p>
        </w:tc>
        <w:tc>
          <w:tcPr>
            <w:tcW w:w="4229" w:type="dxa"/>
            <w:vMerge w:val="restart"/>
            <w:tcBorders>
              <w:top w:val="single" w:sz="4" w:space="0" w:color="auto"/>
              <w:left w:val="single" w:sz="4" w:space="0" w:color="auto"/>
              <w:right w:val="single" w:sz="4" w:space="0" w:color="auto"/>
            </w:tcBorders>
            <w:vAlign w:val="center"/>
          </w:tcPr>
          <w:p w:rsidR="00640D1A" w:rsidRPr="007A63E5" w:rsidRDefault="00C57B84" w:rsidP="003C53FB">
            <w:pPr>
              <w:jc w:val="both"/>
              <w:rPr>
                <w:rFonts w:ascii="Calibri" w:eastAsia="標楷體" w:hAnsi="Calibri"/>
                <w:b/>
                <w:color w:val="000000" w:themeColor="text1"/>
              </w:rPr>
            </w:pPr>
            <w:r w:rsidRPr="007A63E5">
              <w:rPr>
                <w:rFonts w:ascii="Calibri" w:eastAsia="標楷體" w:hAnsi="Calibri" w:hint="eastAsia"/>
                <w:color w:val="000000" w:themeColor="text1"/>
                <w:kern w:val="0"/>
              </w:rPr>
              <w:t>針對腎臟、泌尿、內分泌與新陳代謝系統疾病，涵蓋如急慢性腎絲球腎炎、間質性腎炎、血管炎、急性腎傷害、慢性腎臟病；泌尿系統疾病、感染症、結石症、腫瘤、性功能障礙；糖尿病、內分泌疾病、及各種代謝性與基因性疾病，從基礎、轉譯、臨床、或流行病學等角度出發，研究其發生、基因、病理機轉、診斷、治療、與預防之科學研究。</w:t>
            </w:r>
          </w:p>
        </w:tc>
      </w:tr>
      <w:tr w:rsidR="007A63E5" w:rsidRPr="007A63E5" w:rsidTr="003C53FB">
        <w:trPr>
          <w:cantSplit/>
          <w:trHeight w:val="968"/>
          <w:jc w:val="center"/>
        </w:trPr>
        <w:tc>
          <w:tcPr>
            <w:tcW w:w="3049" w:type="dxa"/>
            <w:vMerge/>
            <w:tcBorders>
              <w:top w:val="single" w:sz="4" w:space="0" w:color="auto"/>
              <w:left w:val="single" w:sz="4" w:space="0" w:color="auto"/>
              <w:right w:val="single" w:sz="4" w:space="0" w:color="auto"/>
            </w:tcBorders>
            <w:vAlign w:val="center"/>
          </w:tcPr>
          <w:p w:rsidR="00EB19B2" w:rsidRPr="007A63E5" w:rsidRDefault="00EB19B2" w:rsidP="007F0B9F">
            <w:pPr>
              <w:jc w:val="center"/>
              <w:rPr>
                <w:rFonts w:ascii="Calibri" w:eastAsia="標楷體" w:hAnsi="Calibri"/>
                <w:b/>
                <w:color w:val="000000" w:themeColor="text1"/>
                <w:sz w:val="28"/>
                <w:szCs w:val="28"/>
              </w:rPr>
            </w:pPr>
          </w:p>
        </w:tc>
        <w:tc>
          <w:tcPr>
            <w:tcW w:w="36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B19B2" w:rsidRPr="007A63E5" w:rsidRDefault="00EB19B2" w:rsidP="00CB775E">
            <w:pPr>
              <w:spacing w:line="240" w:lineRule="exact"/>
              <w:rPr>
                <w:rFonts w:ascii="標楷體" w:eastAsia="標楷體" w:hAnsi="標楷體"/>
                <w:color w:val="000000" w:themeColor="text1"/>
                <w:sz w:val="26"/>
                <w:szCs w:val="26"/>
              </w:rPr>
            </w:pPr>
            <w:r w:rsidRPr="007A63E5">
              <w:rPr>
                <w:rFonts w:ascii="標楷體" w:eastAsia="標楷體" w:hAnsi="標楷體" w:hint="eastAsia"/>
                <w:color w:val="000000" w:themeColor="text1"/>
                <w:sz w:val="26"/>
                <w:szCs w:val="26"/>
              </w:rPr>
              <w:t>泌尿</w:t>
            </w:r>
          </w:p>
        </w:tc>
        <w:tc>
          <w:tcPr>
            <w:tcW w:w="4229" w:type="dxa"/>
            <w:vMerge/>
            <w:tcBorders>
              <w:top w:val="single" w:sz="4" w:space="0" w:color="auto"/>
              <w:left w:val="single" w:sz="4" w:space="0" w:color="auto"/>
              <w:right w:val="single" w:sz="4" w:space="0" w:color="auto"/>
            </w:tcBorders>
            <w:vAlign w:val="center"/>
          </w:tcPr>
          <w:p w:rsidR="00EB19B2" w:rsidRPr="007A63E5" w:rsidRDefault="00EB19B2" w:rsidP="003C53FB">
            <w:pPr>
              <w:jc w:val="both"/>
              <w:rPr>
                <w:rFonts w:ascii="Calibri" w:eastAsia="標楷體" w:hAnsi="Calibri"/>
                <w:color w:val="000000" w:themeColor="text1"/>
                <w:kern w:val="0"/>
              </w:rPr>
            </w:pPr>
          </w:p>
        </w:tc>
      </w:tr>
      <w:tr w:rsidR="007A63E5" w:rsidRPr="007A63E5" w:rsidTr="00C57B84">
        <w:trPr>
          <w:cantSplit/>
          <w:trHeight w:val="1541"/>
          <w:jc w:val="center"/>
        </w:trPr>
        <w:tc>
          <w:tcPr>
            <w:tcW w:w="3049" w:type="dxa"/>
            <w:vMerge/>
            <w:tcBorders>
              <w:left w:val="single" w:sz="4" w:space="0" w:color="auto"/>
              <w:right w:val="single" w:sz="4" w:space="0" w:color="auto"/>
            </w:tcBorders>
            <w:vAlign w:val="center"/>
          </w:tcPr>
          <w:p w:rsidR="00640D1A" w:rsidRPr="007A63E5" w:rsidRDefault="00640D1A" w:rsidP="00B82C09">
            <w:pPr>
              <w:jc w:val="center"/>
              <w:rPr>
                <w:rFonts w:ascii="Calibri" w:eastAsia="標楷體" w:hAnsi="Calibri"/>
                <w:b/>
                <w:color w:val="000000" w:themeColor="text1"/>
                <w:sz w:val="28"/>
                <w:szCs w:val="28"/>
              </w:rPr>
            </w:pPr>
          </w:p>
        </w:tc>
        <w:tc>
          <w:tcPr>
            <w:tcW w:w="36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40D1A" w:rsidRPr="007A63E5" w:rsidRDefault="00640D1A" w:rsidP="00CB775E">
            <w:pPr>
              <w:spacing w:line="240" w:lineRule="exact"/>
              <w:rPr>
                <w:rFonts w:ascii="標楷體" w:eastAsia="標楷體" w:hAnsi="標楷體"/>
                <w:color w:val="000000" w:themeColor="text1"/>
                <w:sz w:val="26"/>
                <w:szCs w:val="26"/>
              </w:rPr>
            </w:pPr>
            <w:r w:rsidRPr="007A63E5">
              <w:rPr>
                <w:rFonts w:ascii="標楷體" w:eastAsia="標楷體" w:hAnsi="標楷體" w:hint="eastAsia"/>
                <w:color w:val="000000" w:themeColor="text1"/>
                <w:sz w:val="26"/>
                <w:szCs w:val="26"/>
              </w:rPr>
              <w:t>新陳代謝</w:t>
            </w:r>
            <w:r w:rsidR="007F0B9F" w:rsidRPr="007A63E5">
              <w:rPr>
                <w:rFonts w:ascii="標楷體" w:eastAsia="標楷體" w:hAnsi="標楷體" w:hint="eastAsia"/>
                <w:color w:val="000000" w:themeColor="text1"/>
                <w:sz w:val="26"/>
                <w:szCs w:val="26"/>
              </w:rPr>
              <w:t>及內分泌</w:t>
            </w:r>
          </w:p>
        </w:tc>
        <w:tc>
          <w:tcPr>
            <w:tcW w:w="4229" w:type="dxa"/>
            <w:vMerge/>
            <w:tcBorders>
              <w:left w:val="single" w:sz="4" w:space="0" w:color="auto"/>
              <w:right w:val="single" w:sz="4" w:space="0" w:color="auto"/>
            </w:tcBorders>
            <w:vAlign w:val="center"/>
          </w:tcPr>
          <w:p w:rsidR="00640D1A" w:rsidRPr="007A63E5" w:rsidRDefault="00640D1A" w:rsidP="00955D24">
            <w:pPr>
              <w:jc w:val="both"/>
              <w:rPr>
                <w:rFonts w:ascii="Calibri" w:eastAsia="標楷體" w:hAnsi="Calibri"/>
                <w:color w:val="000000" w:themeColor="text1"/>
              </w:rPr>
            </w:pPr>
          </w:p>
        </w:tc>
      </w:tr>
      <w:tr w:rsidR="007A63E5" w:rsidRPr="007A63E5" w:rsidTr="003C53FB">
        <w:trPr>
          <w:cantSplit/>
          <w:trHeight w:val="720"/>
          <w:jc w:val="center"/>
        </w:trPr>
        <w:tc>
          <w:tcPr>
            <w:tcW w:w="3049" w:type="dxa"/>
            <w:vMerge w:val="restart"/>
            <w:tcBorders>
              <w:top w:val="single" w:sz="4" w:space="0" w:color="auto"/>
              <w:left w:val="single" w:sz="4" w:space="0" w:color="auto"/>
              <w:right w:val="single" w:sz="4" w:space="0" w:color="auto"/>
            </w:tcBorders>
            <w:vAlign w:val="center"/>
            <w:hideMark/>
          </w:tcPr>
          <w:p w:rsidR="00CB775E" w:rsidRPr="007A63E5" w:rsidRDefault="00CB775E" w:rsidP="00B82C09">
            <w:pPr>
              <w:jc w:val="center"/>
              <w:rPr>
                <w:rFonts w:ascii="Calibri" w:eastAsia="標楷體" w:hAnsi="Calibri"/>
                <w:b/>
                <w:color w:val="000000" w:themeColor="text1"/>
                <w:spacing w:val="-20"/>
                <w:sz w:val="28"/>
                <w:szCs w:val="28"/>
              </w:rPr>
            </w:pPr>
            <w:r w:rsidRPr="007A63E5">
              <w:rPr>
                <w:rFonts w:ascii="Calibri" w:eastAsia="標楷體" w:hAnsi="Calibri" w:hint="eastAsia"/>
                <w:b/>
                <w:color w:val="000000" w:themeColor="text1"/>
                <w:spacing w:val="-20"/>
                <w:sz w:val="28"/>
                <w:szCs w:val="28"/>
              </w:rPr>
              <w:t>感官系統醫學</w:t>
            </w:r>
          </w:p>
        </w:tc>
        <w:tc>
          <w:tcPr>
            <w:tcW w:w="36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hideMark/>
          </w:tcPr>
          <w:p w:rsidR="00CB775E" w:rsidRPr="007A63E5" w:rsidRDefault="00CB775E" w:rsidP="00CB775E">
            <w:pPr>
              <w:spacing w:line="240" w:lineRule="exact"/>
              <w:rPr>
                <w:rFonts w:ascii="標楷體" w:eastAsia="標楷體" w:hAnsi="標楷體"/>
                <w:color w:val="000000" w:themeColor="text1"/>
                <w:sz w:val="26"/>
                <w:szCs w:val="26"/>
              </w:rPr>
            </w:pPr>
            <w:r w:rsidRPr="007A63E5">
              <w:rPr>
                <w:rFonts w:ascii="標楷體" w:eastAsia="標楷體" w:hAnsi="標楷體" w:hint="eastAsia"/>
                <w:color w:val="000000" w:themeColor="text1"/>
                <w:sz w:val="26"/>
                <w:szCs w:val="26"/>
              </w:rPr>
              <w:t>眼</w:t>
            </w:r>
          </w:p>
        </w:tc>
        <w:tc>
          <w:tcPr>
            <w:tcW w:w="4229" w:type="dxa"/>
            <w:vMerge w:val="restart"/>
            <w:tcBorders>
              <w:top w:val="single" w:sz="4" w:space="0" w:color="auto"/>
              <w:left w:val="single" w:sz="4" w:space="0" w:color="auto"/>
              <w:right w:val="single" w:sz="4" w:space="0" w:color="auto"/>
            </w:tcBorders>
            <w:vAlign w:val="center"/>
          </w:tcPr>
          <w:p w:rsidR="00CB775E" w:rsidRPr="007A63E5" w:rsidRDefault="00CB775E" w:rsidP="00955D24">
            <w:pPr>
              <w:jc w:val="both"/>
              <w:rPr>
                <w:rFonts w:ascii="Calibri" w:eastAsia="標楷體" w:hAnsi="Calibri"/>
                <w:color w:val="000000" w:themeColor="text1"/>
              </w:rPr>
            </w:pPr>
            <w:r w:rsidRPr="007A63E5">
              <w:rPr>
                <w:rFonts w:ascii="Calibri" w:eastAsia="標楷體" w:hAnsi="Calibri" w:hint="eastAsia"/>
                <w:color w:val="000000" w:themeColor="text1"/>
              </w:rPr>
              <w:t>針對感官系統</w:t>
            </w:r>
            <w:r w:rsidR="00B948D2" w:rsidRPr="007A63E5">
              <w:rPr>
                <w:rFonts w:ascii="Calibri" w:eastAsia="標楷體" w:hAnsi="Calibri" w:hint="eastAsia"/>
                <w:color w:val="000000" w:themeColor="text1"/>
              </w:rPr>
              <w:t>及整形、乳房外科等</w:t>
            </w:r>
            <w:r w:rsidRPr="007A63E5">
              <w:rPr>
                <w:rFonts w:ascii="Calibri" w:eastAsia="標楷體" w:hAnsi="Calibri" w:hint="eastAsia"/>
                <w:color w:val="000000" w:themeColor="text1"/>
              </w:rPr>
              <w:t>之基礎與臨床研究，如眼、耳、鼻、喉、皮膚等主題與疾病，從基礎、轉譯、臨床或流行病學等角度出發，研究其致病機轉、診斷、預防、治療、整復與重建之科學。</w:t>
            </w:r>
          </w:p>
        </w:tc>
      </w:tr>
      <w:tr w:rsidR="007A63E5" w:rsidRPr="007A63E5" w:rsidTr="003C53FB">
        <w:trPr>
          <w:cantSplit/>
          <w:trHeight w:val="720"/>
          <w:jc w:val="center"/>
        </w:trPr>
        <w:tc>
          <w:tcPr>
            <w:tcW w:w="3049" w:type="dxa"/>
            <w:vMerge/>
            <w:tcBorders>
              <w:left w:val="single" w:sz="4" w:space="0" w:color="auto"/>
              <w:right w:val="single" w:sz="4" w:space="0" w:color="auto"/>
            </w:tcBorders>
            <w:vAlign w:val="center"/>
          </w:tcPr>
          <w:p w:rsidR="00CB775E" w:rsidRPr="007A63E5" w:rsidRDefault="00CB775E" w:rsidP="00B82C09">
            <w:pPr>
              <w:jc w:val="center"/>
              <w:rPr>
                <w:rFonts w:ascii="Calibri" w:eastAsia="標楷體" w:hAnsi="Calibri"/>
                <w:b/>
                <w:color w:val="000000" w:themeColor="text1"/>
                <w:spacing w:val="-20"/>
                <w:sz w:val="28"/>
                <w:szCs w:val="28"/>
              </w:rPr>
            </w:pPr>
          </w:p>
        </w:tc>
        <w:tc>
          <w:tcPr>
            <w:tcW w:w="36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75E" w:rsidRPr="007A63E5" w:rsidRDefault="00CB775E" w:rsidP="00CB775E">
            <w:pPr>
              <w:spacing w:line="240" w:lineRule="exact"/>
              <w:rPr>
                <w:rFonts w:ascii="標楷體" w:eastAsia="標楷體" w:hAnsi="標楷體"/>
                <w:color w:val="000000" w:themeColor="text1"/>
                <w:sz w:val="26"/>
                <w:szCs w:val="26"/>
              </w:rPr>
            </w:pPr>
            <w:r w:rsidRPr="007A63E5">
              <w:rPr>
                <w:rFonts w:ascii="標楷體" w:eastAsia="標楷體" w:hAnsi="標楷體" w:hint="eastAsia"/>
                <w:color w:val="000000" w:themeColor="text1"/>
                <w:sz w:val="26"/>
                <w:szCs w:val="26"/>
              </w:rPr>
              <w:t>耳鼻喉</w:t>
            </w:r>
          </w:p>
        </w:tc>
        <w:tc>
          <w:tcPr>
            <w:tcW w:w="4229" w:type="dxa"/>
            <w:vMerge/>
            <w:tcBorders>
              <w:left w:val="single" w:sz="4" w:space="0" w:color="auto"/>
              <w:right w:val="single" w:sz="4" w:space="0" w:color="auto"/>
            </w:tcBorders>
          </w:tcPr>
          <w:p w:rsidR="00CB775E" w:rsidRPr="007A63E5" w:rsidRDefault="00CB775E" w:rsidP="00B82C09">
            <w:pPr>
              <w:rPr>
                <w:rFonts w:ascii="Calibri" w:eastAsia="標楷體" w:hAnsi="Calibri"/>
                <w:color w:val="000000" w:themeColor="text1"/>
              </w:rPr>
            </w:pPr>
          </w:p>
        </w:tc>
      </w:tr>
      <w:tr w:rsidR="007A63E5" w:rsidRPr="007A63E5" w:rsidTr="003C53FB">
        <w:trPr>
          <w:cantSplit/>
          <w:trHeight w:val="720"/>
          <w:jc w:val="center"/>
        </w:trPr>
        <w:tc>
          <w:tcPr>
            <w:tcW w:w="3049" w:type="dxa"/>
            <w:vMerge/>
            <w:tcBorders>
              <w:left w:val="single" w:sz="4" w:space="0" w:color="auto"/>
              <w:right w:val="single" w:sz="4" w:space="0" w:color="auto"/>
            </w:tcBorders>
            <w:vAlign w:val="center"/>
          </w:tcPr>
          <w:p w:rsidR="00CB775E" w:rsidRPr="007A63E5" w:rsidRDefault="00CB775E" w:rsidP="00B82C09">
            <w:pPr>
              <w:jc w:val="center"/>
              <w:rPr>
                <w:rFonts w:ascii="Calibri" w:eastAsia="標楷體" w:hAnsi="Calibri"/>
                <w:b/>
                <w:color w:val="000000" w:themeColor="text1"/>
                <w:spacing w:val="-20"/>
                <w:sz w:val="28"/>
                <w:szCs w:val="28"/>
              </w:rPr>
            </w:pPr>
          </w:p>
        </w:tc>
        <w:tc>
          <w:tcPr>
            <w:tcW w:w="36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75E" w:rsidRPr="007A63E5" w:rsidRDefault="00CB775E" w:rsidP="00CB775E">
            <w:pPr>
              <w:spacing w:line="240" w:lineRule="exact"/>
              <w:rPr>
                <w:rFonts w:ascii="標楷體" w:eastAsia="標楷體" w:hAnsi="標楷體"/>
                <w:color w:val="000000" w:themeColor="text1"/>
                <w:sz w:val="26"/>
                <w:szCs w:val="26"/>
              </w:rPr>
            </w:pPr>
            <w:r w:rsidRPr="007A63E5">
              <w:rPr>
                <w:rFonts w:ascii="標楷體" w:eastAsia="標楷體" w:hAnsi="標楷體" w:hint="eastAsia"/>
                <w:color w:val="000000" w:themeColor="text1"/>
                <w:sz w:val="26"/>
                <w:szCs w:val="26"/>
              </w:rPr>
              <w:t>皮膚</w:t>
            </w:r>
          </w:p>
        </w:tc>
        <w:tc>
          <w:tcPr>
            <w:tcW w:w="4229" w:type="dxa"/>
            <w:vMerge/>
            <w:tcBorders>
              <w:left w:val="single" w:sz="4" w:space="0" w:color="auto"/>
              <w:right w:val="single" w:sz="4" w:space="0" w:color="auto"/>
            </w:tcBorders>
          </w:tcPr>
          <w:p w:rsidR="00CB775E" w:rsidRPr="007A63E5" w:rsidRDefault="00CB775E" w:rsidP="00B82C09">
            <w:pPr>
              <w:rPr>
                <w:rFonts w:ascii="Calibri" w:eastAsia="標楷體" w:hAnsi="Calibri"/>
                <w:color w:val="000000" w:themeColor="text1"/>
              </w:rPr>
            </w:pPr>
          </w:p>
        </w:tc>
      </w:tr>
      <w:tr w:rsidR="007A63E5" w:rsidRPr="007A63E5" w:rsidTr="003C53FB">
        <w:trPr>
          <w:cantSplit/>
          <w:trHeight w:val="720"/>
          <w:jc w:val="center"/>
        </w:trPr>
        <w:tc>
          <w:tcPr>
            <w:tcW w:w="3049" w:type="dxa"/>
            <w:vMerge/>
            <w:tcBorders>
              <w:left w:val="single" w:sz="4" w:space="0" w:color="auto"/>
              <w:bottom w:val="single" w:sz="4" w:space="0" w:color="auto"/>
              <w:right w:val="single" w:sz="4" w:space="0" w:color="auto"/>
            </w:tcBorders>
            <w:vAlign w:val="center"/>
          </w:tcPr>
          <w:p w:rsidR="00CB775E" w:rsidRPr="007A63E5" w:rsidRDefault="00CB775E" w:rsidP="00B82C09">
            <w:pPr>
              <w:jc w:val="center"/>
              <w:rPr>
                <w:rFonts w:ascii="Calibri" w:eastAsia="標楷體" w:hAnsi="Calibri"/>
                <w:b/>
                <w:color w:val="000000" w:themeColor="text1"/>
                <w:spacing w:val="-20"/>
                <w:sz w:val="28"/>
                <w:szCs w:val="28"/>
              </w:rPr>
            </w:pPr>
          </w:p>
        </w:tc>
        <w:tc>
          <w:tcPr>
            <w:tcW w:w="36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75E" w:rsidRPr="007A63E5" w:rsidRDefault="00CB775E" w:rsidP="00CB775E">
            <w:pPr>
              <w:spacing w:line="240" w:lineRule="exact"/>
              <w:rPr>
                <w:rFonts w:ascii="標楷體" w:eastAsia="標楷體" w:hAnsi="標楷體"/>
                <w:color w:val="000000" w:themeColor="text1"/>
                <w:sz w:val="26"/>
                <w:szCs w:val="26"/>
              </w:rPr>
            </w:pPr>
            <w:r w:rsidRPr="007A63E5">
              <w:rPr>
                <w:rFonts w:ascii="標楷體" w:eastAsia="標楷體" w:hAnsi="標楷體" w:hint="eastAsia"/>
                <w:color w:val="000000" w:themeColor="text1"/>
                <w:sz w:val="26"/>
                <w:szCs w:val="26"/>
              </w:rPr>
              <w:t>整</w:t>
            </w:r>
            <w:r w:rsidR="00D13259" w:rsidRPr="007A63E5">
              <w:rPr>
                <w:rFonts w:ascii="標楷體" w:eastAsia="標楷體" w:hAnsi="標楷體" w:hint="eastAsia"/>
                <w:color w:val="000000" w:themeColor="text1"/>
                <w:sz w:val="26"/>
                <w:szCs w:val="26"/>
              </w:rPr>
              <w:t>形</w:t>
            </w:r>
            <w:r w:rsidRPr="007A63E5">
              <w:rPr>
                <w:rFonts w:ascii="標楷體" w:eastAsia="標楷體" w:hAnsi="標楷體" w:hint="eastAsia"/>
                <w:color w:val="000000" w:themeColor="text1"/>
                <w:sz w:val="26"/>
                <w:szCs w:val="26"/>
              </w:rPr>
              <w:t>外</w:t>
            </w:r>
            <w:r w:rsidR="00D13259" w:rsidRPr="007A63E5">
              <w:rPr>
                <w:rFonts w:ascii="標楷體" w:eastAsia="標楷體" w:hAnsi="標楷體" w:hint="eastAsia"/>
                <w:color w:val="000000" w:themeColor="text1"/>
                <w:sz w:val="26"/>
                <w:szCs w:val="26"/>
              </w:rPr>
              <w:t>科</w:t>
            </w:r>
            <w:r w:rsidR="00B948D2" w:rsidRPr="007A63E5">
              <w:rPr>
                <w:rFonts w:ascii="標楷體" w:eastAsia="標楷體" w:hAnsi="標楷體" w:hint="eastAsia"/>
                <w:color w:val="000000" w:themeColor="text1"/>
                <w:sz w:val="26"/>
                <w:szCs w:val="26"/>
              </w:rPr>
              <w:t>/乳房外科</w:t>
            </w:r>
          </w:p>
        </w:tc>
        <w:tc>
          <w:tcPr>
            <w:tcW w:w="4229" w:type="dxa"/>
            <w:vMerge/>
            <w:tcBorders>
              <w:left w:val="single" w:sz="4" w:space="0" w:color="auto"/>
              <w:bottom w:val="single" w:sz="4" w:space="0" w:color="auto"/>
              <w:right w:val="single" w:sz="4" w:space="0" w:color="auto"/>
            </w:tcBorders>
          </w:tcPr>
          <w:p w:rsidR="00CB775E" w:rsidRPr="007A63E5" w:rsidRDefault="00CB775E" w:rsidP="00B82C09">
            <w:pPr>
              <w:rPr>
                <w:rFonts w:ascii="Calibri" w:eastAsia="標楷體" w:hAnsi="Calibri"/>
                <w:color w:val="000000" w:themeColor="text1"/>
              </w:rPr>
            </w:pPr>
          </w:p>
        </w:tc>
      </w:tr>
    </w:tbl>
    <w:p w:rsidR="00E26572" w:rsidRPr="007A63E5" w:rsidRDefault="00E26572">
      <w:pPr>
        <w:rPr>
          <w:color w:val="000000" w:themeColor="text1"/>
        </w:rPr>
      </w:pPr>
    </w:p>
    <w:sectPr w:rsidR="00E26572" w:rsidRPr="007A63E5" w:rsidSect="00B82C09">
      <w:pgSz w:w="11906" w:h="16838"/>
      <w:pgMar w:top="737" w:right="567" w:bottom="737"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446" w:rsidRDefault="00325446" w:rsidP="00DC1B91">
      <w:r>
        <w:separator/>
      </w:r>
    </w:p>
  </w:endnote>
  <w:endnote w:type="continuationSeparator" w:id="0">
    <w:p w:rsidR="00325446" w:rsidRDefault="00325446" w:rsidP="00DC1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446" w:rsidRDefault="00325446" w:rsidP="00DC1B91">
      <w:r>
        <w:separator/>
      </w:r>
    </w:p>
  </w:footnote>
  <w:footnote w:type="continuationSeparator" w:id="0">
    <w:p w:rsidR="00325446" w:rsidRDefault="00325446" w:rsidP="00DC1B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8D3"/>
    <w:rsid w:val="00003F5F"/>
    <w:rsid w:val="000103C3"/>
    <w:rsid w:val="00015816"/>
    <w:rsid w:val="00030489"/>
    <w:rsid w:val="00035A51"/>
    <w:rsid w:val="00042AFC"/>
    <w:rsid w:val="00047A2C"/>
    <w:rsid w:val="00047D1C"/>
    <w:rsid w:val="00066433"/>
    <w:rsid w:val="00066977"/>
    <w:rsid w:val="00091E25"/>
    <w:rsid w:val="00091F4C"/>
    <w:rsid w:val="000A74F6"/>
    <w:rsid w:val="000C52EF"/>
    <w:rsid w:val="000C6754"/>
    <w:rsid w:val="000E5884"/>
    <w:rsid w:val="00102B89"/>
    <w:rsid w:val="00112238"/>
    <w:rsid w:val="00112258"/>
    <w:rsid w:val="00125D19"/>
    <w:rsid w:val="00136CBF"/>
    <w:rsid w:val="00171CB3"/>
    <w:rsid w:val="00177055"/>
    <w:rsid w:val="00191272"/>
    <w:rsid w:val="001A2B63"/>
    <w:rsid w:val="001C54B5"/>
    <w:rsid w:val="001D090F"/>
    <w:rsid w:val="001F312A"/>
    <w:rsid w:val="001F6F04"/>
    <w:rsid w:val="00223177"/>
    <w:rsid w:val="0023301F"/>
    <w:rsid w:val="00236AA6"/>
    <w:rsid w:val="002403FF"/>
    <w:rsid w:val="00241BD4"/>
    <w:rsid w:val="002608D3"/>
    <w:rsid w:val="00295DDF"/>
    <w:rsid w:val="00296450"/>
    <w:rsid w:val="002A6935"/>
    <w:rsid w:val="002C7808"/>
    <w:rsid w:val="002D03FE"/>
    <w:rsid w:val="002D15C6"/>
    <w:rsid w:val="003028D7"/>
    <w:rsid w:val="00325446"/>
    <w:rsid w:val="00325806"/>
    <w:rsid w:val="00330970"/>
    <w:rsid w:val="00334F84"/>
    <w:rsid w:val="00384334"/>
    <w:rsid w:val="003A66A9"/>
    <w:rsid w:val="003B544E"/>
    <w:rsid w:val="003C53FB"/>
    <w:rsid w:val="003F054C"/>
    <w:rsid w:val="003F1F45"/>
    <w:rsid w:val="003F6534"/>
    <w:rsid w:val="00411AB1"/>
    <w:rsid w:val="004758BB"/>
    <w:rsid w:val="004B15B5"/>
    <w:rsid w:val="004D68B2"/>
    <w:rsid w:val="004E4D33"/>
    <w:rsid w:val="004F20D6"/>
    <w:rsid w:val="0051243D"/>
    <w:rsid w:val="00513A2D"/>
    <w:rsid w:val="005571C1"/>
    <w:rsid w:val="00584D1B"/>
    <w:rsid w:val="00594572"/>
    <w:rsid w:val="00596890"/>
    <w:rsid w:val="005B16F1"/>
    <w:rsid w:val="005B61E0"/>
    <w:rsid w:val="005D04D5"/>
    <w:rsid w:val="005E54CA"/>
    <w:rsid w:val="005E7A75"/>
    <w:rsid w:val="00621E88"/>
    <w:rsid w:val="006227CC"/>
    <w:rsid w:val="006321FE"/>
    <w:rsid w:val="00640D1A"/>
    <w:rsid w:val="00655C13"/>
    <w:rsid w:val="00656687"/>
    <w:rsid w:val="00675166"/>
    <w:rsid w:val="00681D78"/>
    <w:rsid w:val="006922EF"/>
    <w:rsid w:val="006C0A1A"/>
    <w:rsid w:val="006D03B8"/>
    <w:rsid w:val="006D05EB"/>
    <w:rsid w:val="00703D9C"/>
    <w:rsid w:val="007055C6"/>
    <w:rsid w:val="00710BA2"/>
    <w:rsid w:val="00730FE3"/>
    <w:rsid w:val="00764FDF"/>
    <w:rsid w:val="00796676"/>
    <w:rsid w:val="007A23C8"/>
    <w:rsid w:val="007A63E5"/>
    <w:rsid w:val="007D4C6C"/>
    <w:rsid w:val="007E013C"/>
    <w:rsid w:val="007E01A1"/>
    <w:rsid w:val="007F0B9F"/>
    <w:rsid w:val="00861563"/>
    <w:rsid w:val="00874EAF"/>
    <w:rsid w:val="0088274C"/>
    <w:rsid w:val="008A5A17"/>
    <w:rsid w:val="008B6B9A"/>
    <w:rsid w:val="008E1F0E"/>
    <w:rsid w:val="00925B9F"/>
    <w:rsid w:val="00944BD1"/>
    <w:rsid w:val="00944C00"/>
    <w:rsid w:val="009519DF"/>
    <w:rsid w:val="00955D24"/>
    <w:rsid w:val="009562E5"/>
    <w:rsid w:val="00956BDD"/>
    <w:rsid w:val="00976D3A"/>
    <w:rsid w:val="0099285E"/>
    <w:rsid w:val="009B0AFF"/>
    <w:rsid w:val="009E4F7F"/>
    <w:rsid w:val="009F00A8"/>
    <w:rsid w:val="00A55FBC"/>
    <w:rsid w:val="00A64CCE"/>
    <w:rsid w:val="00AA702C"/>
    <w:rsid w:val="00AE3319"/>
    <w:rsid w:val="00AE43FC"/>
    <w:rsid w:val="00B04B17"/>
    <w:rsid w:val="00B12F62"/>
    <w:rsid w:val="00B50CC6"/>
    <w:rsid w:val="00B7516D"/>
    <w:rsid w:val="00B828D0"/>
    <w:rsid w:val="00B82C09"/>
    <w:rsid w:val="00B86278"/>
    <w:rsid w:val="00B948D2"/>
    <w:rsid w:val="00BD4A95"/>
    <w:rsid w:val="00BD7176"/>
    <w:rsid w:val="00BE183C"/>
    <w:rsid w:val="00BE6604"/>
    <w:rsid w:val="00BF7819"/>
    <w:rsid w:val="00C5336F"/>
    <w:rsid w:val="00C57B84"/>
    <w:rsid w:val="00C72251"/>
    <w:rsid w:val="00C911FA"/>
    <w:rsid w:val="00C915DE"/>
    <w:rsid w:val="00CB775E"/>
    <w:rsid w:val="00CB7B93"/>
    <w:rsid w:val="00CC6DCD"/>
    <w:rsid w:val="00CF4E2A"/>
    <w:rsid w:val="00D13259"/>
    <w:rsid w:val="00D13DA3"/>
    <w:rsid w:val="00D23885"/>
    <w:rsid w:val="00D7721A"/>
    <w:rsid w:val="00D81958"/>
    <w:rsid w:val="00D8771C"/>
    <w:rsid w:val="00D902D6"/>
    <w:rsid w:val="00DB2F5E"/>
    <w:rsid w:val="00DC0263"/>
    <w:rsid w:val="00DC1B91"/>
    <w:rsid w:val="00DC4C4E"/>
    <w:rsid w:val="00DC748F"/>
    <w:rsid w:val="00DD42DD"/>
    <w:rsid w:val="00DD5421"/>
    <w:rsid w:val="00DD70F5"/>
    <w:rsid w:val="00DF4ABA"/>
    <w:rsid w:val="00DF7CFE"/>
    <w:rsid w:val="00E074CD"/>
    <w:rsid w:val="00E11D1F"/>
    <w:rsid w:val="00E167B3"/>
    <w:rsid w:val="00E26572"/>
    <w:rsid w:val="00E31AB5"/>
    <w:rsid w:val="00E32886"/>
    <w:rsid w:val="00E32DBE"/>
    <w:rsid w:val="00E409E0"/>
    <w:rsid w:val="00E4258F"/>
    <w:rsid w:val="00E52C99"/>
    <w:rsid w:val="00E53957"/>
    <w:rsid w:val="00E61EB2"/>
    <w:rsid w:val="00E73938"/>
    <w:rsid w:val="00E920C9"/>
    <w:rsid w:val="00E92BC9"/>
    <w:rsid w:val="00EB19B2"/>
    <w:rsid w:val="00EC328F"/>
    <w:rsid w:val="00EC4545"/>
    <w:rsid w:val="00EF6979"/>
    <w:rsid w:val="00F34C3A"/>
    <w:rsid w:val="00F41239"/>
    <w:rsid w:val="00F627B7"/>
    <w:rsid w:val="00F65B3C"/>
    <w:rsid w:val="00F76B28"/>
    <w:rsid w:val="00F84B0C"/>
    <w:rsid w:val="00F85BE3"/>
    <w:rsid w:val="00F865D5"/>
    <w:rsid w:val="00FA174A"/>
    <w:rsid w:val="00FB5529"/>
    <w:rsid w:val="00FC669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08D3"/>
    <w:pPr>
      <w:widowControl w:val="0"/>
    </w:pPr>
    <w:rPr>
      <w:rFonts w:ascii="Times New Roman" w:eastAsia="新細明體" w:hAnsi="Times New Roman" w:cs="Times New Roman"/>
      <w:szCs w:val="24"/>
    </w:rPr>
  </w:style>
  <w:style w:type="paragraph" w:styleId="1">
    <w:name w:val="heading 1"/>
    <w:basedOn w:val="a"/>
    <w:next w:val="a"/>
    <w:link w:val="10"/>
    <w:uiPriority w:val="9"/>
    <w:qFormat/>
    <w:rsid w:val="003F1F45"/>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53957"/>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E53957"/>
    <w:rPr>
      <w:rFonts w:asciiTheme="majorHAnsi" w:eastAsiaTheme="majorEastAsia" w:hAnsiTheme="majorHAnsi" w:cstheme="majorBidi"/>
      <w:sz w:val="18"/>
      <w:szCs w:val="18"/>
    </w:rPr>
  </w:style>
  <w:style w:type="paragraph" w:styleId="a5">
    <w:name w:val="header"/>
    <w:basedOn w:val="a"/>
    <w:link w:val="a6"/>
    <w:uiPriority w:val="99"/>
    <w:unhideWhenUsed/>
    <w:rsid w:val="00DC1B91"/>
    <w:pPr>
      <w:tabs>
        <w:tab w:val="center" w:pos="4153"/>
        <w:tab w:val="right" w:pos="8306"/>
      </w:tabs>
      <w:snapToGrid w:val="0"/>
    </w:pPr>
    <w:rPr>
      <w:sz w:val="20"/>
      <w:szCs w:val="20"/>
    </w:rPr>
  </w:style>
  <w:style w:type="character" w:customStyle="1" w:styleId="a6">
    <w:name w:val="頁首 字元"/>
    <w:basedOn w:val="a0"/>
    <w:link w:val="a5"/>
    <w:uiPriority w:val="99"/>
    <w:rsid w:val="00DC1B91"/>
    <w:rPr>
      <w:rFonts w:ascii="Times New Roman" w:eastAsia="新細明體" w:hAnsi="Times New Roman" w:cs="Times New Roman"/>
      <w:sz w:val="20"/>
      <w:szCs w:val="20"/>
    </w:rPr>
  </w:style>
  <w:style w:type="paragraph" w:styleId="a7">
    <w:name w:val="footer"/>
    <w:basedOn w:val="a"/>
    <w:link w:val="a8"/>
    <w:uiPriority w:val="99"/>
    <w:unhideWhenUsed/>
    <w:rsid w:val="00DC1B91"/>
    <w:pPr>
      <w:tabs>
        <w:tab w:val="center" w:pos="4153"/>
        <w:tab w:val="right" w:pos="8306"/>
      </w:tabs>
      <w:snapToGrid w:val="0"/>
    </w:pPr>
    <w:rPr>
      <w:sz w:val="20"/>
      <w:szCs w:val="20"/>
    </w:rPr>
  </w:style>
  <w:style w:type="character" w:customStyle="1" w:styleId="a8">
    <w:name w:val="頁尾 字元"/>
    <w:basedOn w:val="a0"/>
    <w:link w:val="a7"/>
    <w:uiPriority w:val="99"/>
    <w:rsid w:val="00DC1B91"/>
    <w:rPr>
      <w:rFonts w:ascii="Times New Roman" w:eastAsia="新細明體" w:hAnsi="Times New Roman" w:cs="Times New Roman"/>
      <w:sz w:val="20"/>
      <w:szCs w:val="20"/>
    </w:rPr>
  </w:style>
  <w:style w:type="character" w:customStyle="1" w:styleId="word31">
    <w:name w:val="word31"/>
    <w:basedOn w:val="a0"/>
    <w:rsid w:val="00DC748F"/>
    <w:rPr>
      <w:color w:val="666666"/>
      <w:sz w:val="18"/>
      <w:szCs w:val="18"/>
    </w:rPr>
  </w:style>
  <w:style w:type="paragraph" w:styleId="a9">
    <w:name w:val="Plain Text"/>
    <w:basedOn w:val="a"/>
    <w:link w:val="aa"/>
    <w:uiPriority w:val="99"/>
    <w:unhideWhenUsed/>
    <w:rsid w:val="00E73938"/>
    <w:rPr>
      <w:rFonts w:ascii="Calibri" w:hAnsi="Courier New" w:cs="Courier New"/>
    </w:rPr>
  </w:style>
  <w:style w:type="character" w:customStyle="1" w:styleId="aa">
    <w:name w:val="純文字 字元"/>
    <w:basedOn w:val="a0"/>
    <w:link w:val="a9"/>
    <w:uiPriority w:val="99"/>
    <w:rsid w:val="00E73938"/>
    <w:rPr>
      <w:rFonts w:ascii="Calibri" w:eastAsia="新細明體" w:hAnsi="Courier New" w:cs="Courier New"/>
      <w:szCs w:val="24"/>
    </w:rPr>
  </w:style>
  <w:style w:type="character" w:customStyle="1" w:styleId="10">
    <w:name w:val="標題 1 字元"/>
    <w:basedOn w:val="a0"/>
    <w:link w:val="1"/>
    <w:uiPriority w:val="9"/>
    <w:rsid w:val="003F1F45"/>
    <w:rPr>
      <w:rFonts w:asciiTheme="majorHAnsi" w:eastAsiaTheme="majorEastAsia" w:hAnsiTheme="majorHAnsi" w:cstheme="majorBidi"/>
      <w:b/>
      <w:bCs/>
      <w:kern w:val="52"/>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08D3"/>
    <w:pPr>
      <w:widowControl w:val="0"/>
    </w:pPr>
    <w:rPr>
      <w:rFonts w:ascii="Times New Roman" w:eastAsia="新細明體" w:hAnsi="Times New Roman" w:cs="Times New Roman"/>
      <w:szCs w:val="24"/>
    </w:rPr>
  </w:style>
  <w:style w:type="paragraph" w:styleId="1">
    <w:name w:val="heading 1"/>
    <w:basedOn w:val="a"/>
    <w:next w:val="a"/>
    <w:link w:val="10"/>
    <w:uiPriority w:val="9"/>
    <w:qFormat/>
    <w:rsid w:val="003F1F45"/>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53957"/>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E53957"/>
    <w:rPr>
      <w:rFonts w:asciiTheme="majorHAnsi" w:eastAsiaTheme="majorEastAsia" w:hAnsiTheme="majorHAnsi" w:cstheme="majorBidi"/>
      <w:sz w:val="18"/>
      <w:szCs w:val="18"/>
    </w:rPr>
  </w:style>
  <w:style w:type="paragraph" w:styleId="a5">
    <w:name w:val="header"/>
    <w:basedOn w:val="a"/>
    <w:link w:val="a6"/>
    <w:uiPriority w:val="99"/>
    <w:unhideWhenUsed/>
    <w:rsid w:val="00DC1B91"/>
    <w:pPr>
      <w:tabs>
        <w:tab w:val="center" w:pos="4153"/>
        <w:tab w:val="right" w:pos="8306"/>
      </w:tabs>
      <w:snapToGrid w:val="0"/>
    </w:pPr>
    <w:rPr>
      <w:sz w:val="20"/>
      <w:szCs w:val="20"/>
    </w:rPr>
  </w:style>
  <w:style w:type="character" w:customStyle="1" w:styleId="a6">
    <w:name w:val="頁首 字元"/>
    <w:basedOn w:val="a0"/>
    <w:link w:val="a5"/>
    <w:uiPriority w:val="99"/>
    <w:rsid w:val="00DC1B91"/>
    <w:rPr>
      <w:rFonts w:ascii="Times New Roman" w:eastAsia="新細明體" w:hAnsi="Times New Roman" w:cs="Times New Roman"/>
      <w:sz w:val="20"/>
      <w:szCs w:val="20"/>
    </w:rPr>
  </w:style>
  <w:style w:type="paragraph" w:styleId="a7">
    <w:name w:val="footer"/>
    <w:basedOn w:val="a"/>
    <w:link w:val="a8"/>
    <w:uiPriority w:val="99"/>
    <w:unhideWhenUsed/>
    <w:rsid w:val="00DC1B91"/>
    <w:pPr>
      <w:tabs>
        <w:tab w:val="center" w:pos="4153"/>
        <w:tab w:val="right" w:pos="8306"/>
      </w:tabs>
      <w:snapToGrid w:val="0"/>
    </w:pPr>
    <w:rPr>
      <w:sz w:val="20"/>
      <w:szCs w:val="20"/>
    </w:rPr>
  </w:style>
  <w:style w:type="character" w:customStyle="1" w:styleId="a8">
    <w:name w:val="頁尾 字元"/>
    <w:basedOn w:val="a0"/>
    <w:link w:val="a7"/>
    <w:uiPriority w:val="99"/>
    <w:rsid w:val="00DC1B91"/>
    <w:rPr>
      <w:rFonts w:ascii="Times New Roman" w:eastAsia="新細明體" w:hAnsi="Times New Roman" w:cs="Times New Roman"/>
      <w:sz w:val="20"/>
      <w:szCs w:val="20"/>
    </w:rPr>
  </w:style>
  <w:style w:type="character" w:customStyle="1" w:styleId="word31">
    <w:name w:val="word31"/>
    <w:basedOn w:val="a0"/>
    <w:rsid w:val="00DC748F"/>
    <w:rPr>
      <w:color w:val="666666"/>
      <w:sz w:val="18"/>
      <w:szCs w:val="18"/>
    </w:rPr>
  </w:style>
  <w:style w:type="paragraph" w:styleId="a9">
    <w:name w:val="Plain Text"/>
    <w:basedOn w:val="a"/>
    <w:link w:val="aa"/>
    <w:uiPriority w:val="99"/>
    <w:unhideWhenUsed/>
    <w:rsid w:val="00E73938"/>
    <w:rPr>
      <w:rFonts w:ascii="Calibri" w:hAnsi="Courier New" w:cs="Courier New"/>
    </w:rPr>
  </w:style>
  <w:style w:type="character" w:customStyle="1" w:styleId="aa">
    <w:name w:val="純文字 字元"/>
    <w:basedOn w:val="a0"/>
    <w:link w:val="a9"/>
    <w:uiPriority w:val="99"/>
    <w:rsid w:val="00E73938"/>
    <w:rPr>
      <w:rFonts w:ascii="Calibri" w:eastAsia="新細明體" w:hAnsi="Courier New" w:cs="Courier New"/>
      <w:szCs w:val="24"/>
    </w:rPr>
  </w:style>
  <w:style w:type="character" w:customStyle="1" w:styleId="10">
    <w:name w:val="標題 1 字元"/>
    <w:basedOn w:val="a0"/>
    <w:link w:val="1"/>
    <w:uiPriority w:val="9"/>
    <w:rsid w:val="003F1F45"/>
    <w:rPr>
      <w:rFonts w:asciiTheme="majorHAnsi" w:eastAsiaTheme="majorEastAsia" w:hAnsiTheme="majorHAnsi" w:cstheme="majorBidi"/>
      <w:b/>
      <w:bCs/>
      <w:kern w:val="52"/>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039825">
      <w:bodyDiv w:val="1"/>
      <w:marLeft w:val="0"/>
      <w:marRight w:val="0"/>
      <w:marTop w:val="0"/>
      <w:marBottom w:val="0"/>
      <w:divBdr>
        <w:top w:val="none" w:sz="0" w:space="0" w:color="auto"/>
        <w:left w:val="none" w:sz="0" w:space="0" w:color="auto"/>
        <w:bottom w:val="none" w:sz="0" w:space="0" w:color="auto"/>
        <w:right w:val="none" w:sz="0" w:space="0" w:color="auto"/>
      </w:divBdr>
    </w:div>
    <w:div w:id="857080462">
      <w:bodyDiv w:val="1"/>
      <w:marLeft w:val="0"/>
      <w:marRight w:val="0"/>
      <w:marTop w:val="0"/>
      <w:marBottom w:val="0"/>
      <w:divBdr>
        <w:top w:val="none" w:sz="0" w:space="0" w:color="auto"/>
        <w:left w:val="none" w:sz="0" w:space="0" w:color="auto"/>
        <w:bottom w:val="none" w:sz="0" w:space="0" w:color="auto"/>
        <w:right w:val="none" w:sz="0" w:space="0" w:color="auto"/>
      </w:divBdr>
    </w:div>
    <w:div w:id="1347251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0F326-6413-4D6A-8CCD-A19E90FF9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378</Words>
  <Characters>2158</Characters>
  <Application>Microsoft Office Word</Application>
  <DocSecurity>0</DocSecurity>
  <Lines>17</Lines>
  <Paragraphs>5</Paragraphs>
  <ScaleCrop>false</ScaleCrop>
  <Company/>
  <LinksUpToDate>false</LinksUpToDate>
  <CharactersWithSpaces>2531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戴妃萍</dc:creator>
  <cp:lastModifiedBy>鄭明雅</cp:lastModifiedBy>
  <cp:revision>2</cp:revision>
  <cp:lastPrinted>2014-10-30T08:57:00Z</cp:lastPrinted>
  <dcterms:created xsi:type="dcterms:W3CDTF">2014-11-17T01:26:00Z</dcterms:created>
  <dcterms:modified xsi:type="dcterms:W3CDTF">2014-11-17T01:26:00Z</dcterms:modified>
</cp:coreProperties>
</file>