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1B" w:rsidRPr="00A73EE1" w:rsidRDefault="003D251B" w:rsidP="00A10FEE">
      <w:pPr>
        <w:spacing w:afterLines="50" w:after="180" w:line="400" w:lineRule="exact"/>
        <w:jc w:val="center"/>
        <w:rPr>
          <w:rFonts w:ascii="標楷體" w:eastAsia="標楷體" w:hAnsi="標楷體"/>
          <w:color w:val="000000" w:themeColor="text1"/>
          <w:sz w:val="22"/>
          <w:szCs w:val="28"/>
        </w:rPr>
      </w:pPr>
      <w:bookmarkStart w:id="0" w:name="_GoBack"/>
      <w:bookmarkEnd w:id="0"/>
      <w:r w:rsidRPr="00A73EE1">
        <w:rPr>
          <w:rFonts w:ascii="標楷體" w:eastAsia="標楷體" w:hAnsi="標楷體" w:hint="eastAsia"/>
          <w:b/>
          <w:color w:val="000000" w:themeColor="text1"/>
          <w:sz w:val="40"/>
          <w:szCs w:val="40"/>
        </w:rPr>
        <w:t>高齡者消費生活保護政策綱領</w:t>
      </w:r>
    </w:p>
    <w:p w:rsidR="003D251B" w:rsidRPr="00383C26" w:rsidRDefault="0003243F" w:rsidP="0003243F">
      <w:pPr>
        <w:spacing w:line="400" w:lineRule="exact"/>
        <w:ind w:firstLineChars="1134" w:firstLine="2268"/>
        <w:rPr>
          <w:rFonts w:ascii="標楷體" w:eastAsia="標楷體" w:hAnsi="標楷體"/>
          <w:color w:val="000000" w:themeColor="text1"/>
          <w:sz w:val="20"/>
          <w:szCs w:val="28"/>
        </w:rPr>
      </w:pPr>
      <w:r>
        <w:rPr>
          <w:rFonts w:ascii="標楷體" w:eastAsia="標楷體" w:hAnsi="標楷體" w:hint="eastAsia"/>
          <w:color w:val="000000" w:themeColor="text1"/>
          <w:sz w:val="20"/>
          <w:szCs w:val="28"/>
        </w:rPr>
        <w:t xml:space="preserve"> </w:t>
      </w:r>
      <w:r w:rsidR="003D251B" w:rsidRPr="00383C26">
        <w:rPr>
          <w:rFonts w:ascii="標楷體" w:eastAsia="標楷體" w:hAnsi="標楷體" w:hint="eastAsia"/>
          <w:color w:val="000000" w:themeColor="text1"/>
          <w:sz w:val="20"/>
          <w:szCs w:val="28"/>
        </w:rPr>
        <w:t>行政院消費者保護會第</w:t>
      </w:r>
      <w:r w:rsidR="00FC592A" w:rsidRPr="00383C26">
        <w:rPr>
          <w:rFonts w:ascii="標楷體" w:eastAsia="標楷體" w:hAnsi="標楷體" w:hint="eastAsia"/>
          <w:color w:val="000000" w:themeColor="text1"/>
          <w:sz w:val="20"/>
          <w:szCs w:val="28"/>
        </w:rPr>
        <w:t>44</w:t>
      </w:r>
      <w:r w:rsidR="003D251B" w:rsidRPr="00383C26">
        <w:rPr>
          <w:rFonts w:ascii="標楷體" w:eastAsia="標楷體" w:hAnsi="標楷體" w:hint="eastAsia"/>
          <w:color w:val="000000" w:themeColor="text1"/>
          <w:sz w:val="20"/>
          <w:szCs w:val="28"/>
        </w:rPr>
        <w:t>次會議通過</w:t>
      </w:r>
    </w:p>
    <w:p w:rsidR="003D251B" w:rsidRPr="00383C26" w:rsidRDefault="0003243F" w:rsidP="0003243F">
      <w:pPr>
        <w:spacing w:line="320" w:lineRule="exact"/>
        <w:ind w:firstLineChars="1134" w:firstLine="2268"/>
        <w:rPr>
          <w:rFonts w:ascii="標楷體" w:eastAsia="標楷體" w:hAnsi="標楷體"/>
          <w:color w:val="000000" w:themeColor="text1"/>
          <w:sz w:val="20"/>
          <w:szCs w:val="28"/>
        </w:rPr>
      </w:pPr>
      <w:r>
        <w:rPr>
          <w:rFonts w:ascii="標楷體" w:eastAsia="標楷體" w:hAnsi="標楷體" w:hint="eastAsia"/>
          <w:color w:val="000000" w:themeColor="text1"/>
          <w:sz w:val="20"/>
          <w:szCs w:val="28"/>
        </w:rPr>
        <w:t xml:space="preserve"> </w:t>
      </w:r>
      <w:r w:rsidR="003D251B" w:rsidRPr="00383C26">
        <w:rPr>
          <w:rFonts w:ascii="標楷體" w:eastAsia="標楷體" w:hAnsi="標楷體" w:hint="eastAsia"/>
          <w:color w:val="000000" w:themeColor="text1"/>
          <w:sz w:val="20"/>
          <w:szCs w:val="28"/>
        </w:rPr>
        <w:t>行政院105年</w:t>
      </w:r>
      <w:r w:rsidR="00FC592A" w:rsidRPr="00383C26">
        <w:rPr>
          <w:rFonts w:ascii="標楷體" w:eastAsia="標楷體" w:hAnsi="標楷體" w:hint="eastAsia"/>
          <w:color w:val="000000" w:themeColor="text1"/>
          <w:sz w:val="20"/>
          <w:szCs w:val="28"/>
        </w:rPr>
        <w:t>2</w:t>
      </w:r>
      <w:r w:rsidR="003D251B" w:rsidRPr="00383C26">
        <w:rPr>
          <w:rFonts w:ascii="標楷體" w:eastAsia="標楷體" w:hAnsi="標楷體" w:hint="eastAsia"/>
          <w:color w:val="000000" w:themeColor="text1"/>
          <w:sz w:val="20"/>
          <w:szCs w:val="28"/>
        </w:rPr>
        <w:t>月</w:t>
      </w:r>
      <w:r w:rsidR="00E51CEF">
        <w:rPr>
          <w:rFonts w:ascii="標楷體" w:eastAsia="標楷體" w:hAnsi="標楷體" w:hint="eastAsia"/>
          <w:color w:val="000000" w:themeColor="text1"/>
          <w:sz w:val="20"/>
          <w:szCs w:val="28"/>
        </w:rPr>
        <w:t>15</w:t>
      </w:r>
      <w:r w:rsidR="00FE6726">
        <w:rPr>
          <w:rFonts w:ascii="標楷體" w:eastAsia="標楷體" w:hAnsi="標楷體" w:hint="eastAsia"/>
          <w:color w:val="000000" w:themeColor="text1"/>
          <w:sz w:val="20"/>
          <w:szCs w:val="28"/>
        </w:rPr>
        <w:t>日院</w:t>
      </w:r>
      <w:r w:rsidR="003D251B" w:rsidRPr="00383C26">
        <w:rPr>
          <w:rFonts w:ascii="標楷體" w:eastAsia="標楷體" w:hAnsi="標楷體" w:hint="eastAsia"/>
          <w:color w:val="000000" w:themeColor="text1"/>
          <w:sz w:val="20"/>
          <w:szCs w:val="28"/>
        </w:rPr>
        <w:t>臺消保字第</w:t>
      </w:r>
      <w:r w:rsidR="00135B2A" w:rsidRPr="00383C26">
        <w:rPr>
          <w:rFonts w:ascii="標楷體" w:eastAsia="標楷體" w:hAnsi="標楷體" w:hint="eastAsia"/>
          <w:color w:val="000000" w:themeColor="text1"/>
          <w:sz w:val="20"/>
          <w:szCs w:val="28"/>
        </w:rPr>
        <w:t>105340153299</w:t>
      </w:r>
      <w:r w:rsidR="003D251B" w:rsidRPr="00383C26">
        <w:rPr>
          <w:rFonts w:ascii="標楷體" w:eastAsia="標楷體" w:hAnsi="標楷體" w:hint="eastAsia"/>
          <w:color w:val="000000" w:themeColor="text1"/>
          <w:sz w:val="20"/>
          <w:szCs w:val="28"/>
        </w:rPr>
        <w:t>號函核定實施</w:t>
      </w:r>
    </w:p>
    <w:p w:rsidR="003D251B" w:rsidRPr="00A73EE1" w:rsidRDefault="003D251B" w:rsidP="00A10FEE">
      <w:pPr>
        <w:pStyle w:val="a3"/>
        <w:spacing w:beforeLines="100" w:before="360" w:afterLines="100" w:after="360" w:line="560" w:lineRule="exact"/>
        <w:ind w:leftChars="0" w:left="0"/>
        <w:jc w:val="center"/>
        <w:rPr>
          <w:rFonts w:ascii="標楷體" w:eastAsia="標楷體" w:hAnsi="標楷體"/>
          <w:b/>
          <w:color w:val="000000" w:themeColor="text1"/>
          <w:sz w:val="36"/>
          <w:szCs w:val="36"/>
        </w:rPr>
      </w:pPr>
      <w:r w:rsidRPr="00A73EE1">
        <w:rPr>
          <w:rFonts w:ascii="標楷體" w:eastAsia="標楷體" w:hAnsi="標楷體" w:hint="eastAsia"/>
          <w:b/>
          <w:color w:val="000000" w:themeColor="text1"/>
          <w:sz w:val="36"/>
          <w:szCs w:val="36"/>
        </w:rPr>
        <w:t>壹、前言</w:t>
      </w:r>
    </w:p>
    <w:p w:rsidR="003D251B" w:rsidRPr="00A73EE1" w:rsidRDefault="003D251B" w:rsidP="00A10FEE">
      <w:pPr>
        <w:pStyle w:val="a3"/>
        <w:tabs>
          <w:tab w:val="left" w:pos="0"/>
        </w:tabs>
        <w:spacing w:beforeLines="50" w:before="180" w:line="500" w:lineRule="exact"/>
        <w:ind w:leftChars="0" w:left="0"/>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 xml:space="preserve">　　我國即將進入「高齡社會」，由於高齡者有其消費特性及需求，加上常因身心機能衰退而成為不當行銷或消費詐騙之目標，故需特別予以關注。行政院前消費者保護委員會曾於民國</w:t>
      </w:r>
      <w:r w:rsidRPr="00A73EE1">
        <w:rPr>
          <w:rFonts w:ascii="標楷體" w:eastAsia="標楷體" w:hAnsi="標楷體"/>
          <w:color w:val="000000" w:themeColor="text1"/>
          <w:sz w:val="32"/>
          <w:szCs w:val="32"/>
        </w:rPr>
        <w:t>87</w:t>
      </w:r>
      <w:r w:rsidRPr="00A73EE1">
        <w:rPr>
          <w:rFonts w:ascii="標楷體" w:eastAsia="標楷體" w:hAnsi="標楷體" w:hint="eastAsia"/>
          <w:color w:val="000000" w:themeColor="text1"/>
          <w:sz w:val="32"/>
          <w:szCs w:val="32"/>
        </w:rPr>
        <w:t>年間訂定「推動高齡者消費生活保護計畫」，惟鑑於該計畫與現行「消費者保護計畫」之位階有所重疊，且考量高齡者消保工作必須與時俱進，行政院消費者保護處乃參酌國內外發展趨勢及「聯合國老人綱領」、「美國老人法」、「日本消費者安心行動計畫」等相關文獻，研訂本政策綱領。</w:t>
      </w:r>
    </w:p>
    <w:p w:rsidR="003D251B" w:rsidRPr="00A73EE1" w:rsidRDefault="003D251B" w:rsidP="003D251B">
      <w:pPr>
        <w:pStyle w:val="a3"/>
        <w:tabs>
          <w:tab w:val="left" w:pos="0"/>
        </w:tabs>
        <w:spacing w:line="500" w:lineRule="exact"/>
        <w:ind w:leftChars="0" w:left="0" w:firstLineChars="221" w:firstLine="707"/>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主管機關於研訂年度消費者保護方案時，應參照本綱領目標及推動策略，依權責納入相關執行項目，各級主管機關並應據以落實推行，以維護高齡者的消費權益。</w:t>
      </w:r>
    </w:p>
    <w:p w:rsidR="003D251B" w:rsidRPr="00A73EE1" w:rsidRDefault="003D251B" w:rsidP="00A10FEE">
      <w:pPr>
        <w:pStyle w:val="a3"/>
        <w:spacing w:beforeLines="100" w:before="360" w:afterLines="100" w:after="360" w:line="500" w:lineRule="exact"/>
        <w:ind w:leftChars="0" w:left="0"/>
        <w:jc w:val="center"/>
        <w:rPr>
          <w:rFonts w:ascii="標楷體" w:eastAsia="標楷體" w:hAnsi="標楷體"/>
          <w:b/>
          <w:color w:val="000000" w:themeColor="text1"/>
          <w:sz w:val="36"/>
          <w:szCs w:val="36"/>
        </w:rPr>
      </w:pPr>
      <w:r w:rsidRPr="00A73EE1">
        <w:rPr>
          <w:rFonts w:ascii="標楷體" w:eastAsia="標楷體" w:hAnsi="標楷體" w:hint="eastAsia"/>
          <w:b/>
          <w:color w:val="000000" w:themeColor="text1"/>
          <w:sz w:val="36"/>
          <w:szCs w:val="36"/>
        </w:rPr>
        <w:t>貳、政策目標</w:t>
      </w:r>
    </w:p>
    <w:p w:rsidR="003D251B" w:rsidRPr="00A73EE1" w:rsidRDefault="003D251B" w:rsidP="00A10FEE">
      <w:pPr>
        <w:pStyle w:val="a3"/>
        <w:numPr>
          <w:ilvl w:val="0"/>
          <w:numId w:val="1"/>
        </w:numPr>
        <w:tabs>
          <w:tab w:val="left" w:pos="0"/>
        </w:tabs>
        <w:adjustRightInd/>
        <w:spacing w:beforeLines="50" w:before="180"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滿足高齡者消費生活需求，促進其生活便利及尊嚴。</w:t>
      </w:r>
    </w:p>
    <w:p w:rsidR="003D251B" w:rsidRPr="00A73EE1" w:rsidRDefault="003D251B" w:rsidP="003D251B">
      <w:pPr>
        <w:pStyle w:val="a3"/>
        <w:numPr>
          <w:ilvl w:val="0"/>
          <w:numId w:val="1"/>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避免高齡者消費受害，維護其消費權益及消費生活環境品質。</w:t>
      </w:r>
    </w:p>
    <w:p w:rsidR="003D251B" w:rsidRPr="00A73EE1" w:rsidRDefault="003D251B" w:rsidP="003D251B">
      <w:pPr>
        <w:pStyle w:val="a3"/>
        <w:numPr>
          <w:ilvl w:val="0"/>
          <w:numId w:val="1"/>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提供高齡者友善的消費諮詢及救濟服務，提升其運用意願。</w:t>
      </w:r>
    </w:p>
    <w:p w:rsidR="003D251B" w:rsidRPr="00A73EE1" w:rsidRDefault="003D251B" w:rsidP="003D251B">
      <w:pPr>
        <w:pStyle w:val="a3"/>
        <w:numPr>
          <w:ilvl w:val="0"/>
          <w:numId w:val="1"/>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強化高齡者消保行政效能，落實其消費權益之保護。</w:t>
      </w:r>
    </w:p>
    <w:p w:rsidR="003D251B" w:rsidRPr="00A73EE1" w:rsidRDefault="003D251B" w:rsidP="003D251B">
      <w:pPr>
        <w:widowControl/>
        <w:jc w:val="center"/>
        <w:rPr>
          <w:rFonts w:ascii="標楷體" w:eastAsia="標楷體" w:hAnsi="標楷體"/>
          <w:b/>
          <w:color w:val="000000" w:themeColor="text1"/>
          <w:sz w:val="36"/>
          <w:szCs w:val="36"/>
        </w:rPr>
      </w:pPr>
      <w:r w:rsidRPr="00A73EE1">
        <w:rPr>
          <w:rFonts w:ascii="標楷體" w:eastAsia="標楷體" w:hAnsi="標楷體"/>
          <w:b/>
          <w:color w:val="000000" w:themeColor="text1"/>
          <w:sz w:val="36"/>
          <w:szCs w:val="36"/>
        </w:rPr>
        <w:br w:type="page"/>
      </w:r>
      <w:r w:rsidRPr="00A73EE1">
        <w:rPr>
          <w:rFonts w:ascii="標楷體" w:eastAsia="標楷體" w:hAnsi="標楷體" w:hint="eastAsia"/>
          <w:b/>
          <w:color w:val="000000" w:themeColor="text1"/>
          <w:sz w:val="36"/>
          <w:szCs w:val="36"/>
        </w:rPr>
        <w:lastRenderedPageBreak/>
        <w:t>參、主要推動策略</w:t>
      </w:r>
    </w:p>
    <w:p w:rsidR="003D251B" w:rsidRPr="00A73EE1" w:rsidRDefault="003D251B" w:rsidP="00A10FEE">
      <w:pPr>
        <w:pStyle w:val="a3"/>
        <w:numPr>
          <w:ilvl w:val="0"/>
          <w:numId w:val="2"/>
        </w:numPr>
        <w:tabs>
          <w:tab w:val="left" w:pos="0"/>
        </w:tabs>
        <w:adjustRightInd/>
        <w:spacing w:beforeLines="50" w:before="180"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滿足高齡者消費生活需求</w:t>
      </w:r>
    </w:p>
    <w:p w:rsidR="003D251B" w:rsidRPr="00A73EE1" w:rsidRDefault="003D251B" w:rsidP="003D251B">
      <w:pPr>
        <w:pStyle w:val="a3"/>
        <w:numPr>
          <w:ilvl w:val="0"/>
          <w:numId w:val="3"/>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鼓勵企業經營者開發與提供適合高齡者之安全、便利、環保且價格合理的商品與服務。</w:t>
      </w:r>
    </w:p>
    <w:p w:rsidR="003D251B" w:rsidRPr="00A73EE1" w:rsidRDefault="003D251B" w:rsidP="003D251B">
      <w:pPr>
        <w:pStyle w:val="a3"/>
        <w:numPr>
          <w:ilvl w:val="0"/>
          <w:numId w:val="3"/>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促使企業經營者提供對高齡者友善的消費環境與行銷及售後服務（如制定高齡者親自消費時的服務規約）。</w:t>
      </w:r>
    </w:p>
    <w:p w:rsidR="003D251B" w:rsidRPr="00A73EE1" w:rsidRDefault="003D251B" w:rsidP="003D251B">
      <w:pPr>
        <w:pStyle w:val="a3"/>
        <w:numPr>
          <w:ilvl w:val="0"/>
          <w:numId w:val="3"/>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推動商品、服務或消費環境之高齡者友善認證標章制度。</w:t>
      </w:r>
    </w:p>
    <w:p w:rsidR="003D251B" w:rsidRPr="00A73EE1" w:rsidRDefault="003D251B" w:rsidP="003D251B">
      <w:pPr>
        <w:pStyle w:val="a3"/>
        <w:numPr>
          <w:ilvl w:val="0"/>
          <w:numId w:val="3"/>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維持弱勢高齡者的基本經濟生活，使其有能力購買或租借基本日常生活必需之商品及服務，並研議必要之措施。</w:t>
      </w:r>
    </w:p>
    <w:p w:rsidR="003D251B" w:rsidRPr="00A73EE1" w:rsidRDefault="003D251B" w:rsidP="00A10FEE">
      <w:pPr>
        <w:pStyle w:val="a3"/>
        <w:numPr>
          <w:ilvl w:val="0"/>
          <w:numId w:val="2"/>
        </w:numPr>
        <w:tabs>
          <w:tab w:val="left" w:pos="0"/>
        </w:tabs>
        <w:adjustRightInd/>
        <w:spacing w:beforeLines="50" w:before="180"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避免高齡者消費受害</w:t>
      </w:r>
    </w:p>
    <w:p w:rsidR="003D251B" w:rsidRPr="00A73EE1" w:rsidRDefault="003D251B" w:rsidP="003D251B">
      <w:pPr>
        <w:pStyle w:val="a3"/>
        <w:numPr>
          <w:ilvl w:val="0"/>
          <w:numId w:val="4"/>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提升高齡者正確消費意識</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加強高齡者及其家屬的消保教育及宣導活動，並以獨</w:t>
      </w:r>
      <w:r w:rsidRPr="00A73EE1">
        <w:rPr>
          <w:rFonts w:ascii="標楷體" w:eastAsia="標楷體" w:hAnsi="標楷體" w:cs="標楷體" w:hint="eastAsia"/>
          <w:color w:val="000000" w:themeColor="text1"/>
          <w:sz w:val="32"/>
          <w:szCs w:val="32"/>
        </w:rPr>
        <w:t>居、教育程度較低或居住於偏鄉地區之高齡者為優先對象</w:t>
      </w:r>
      <w:r w:rsidRPr="00A73EE1">
        <w:rPr>
          <w:rFonts w:ascii="標楷體" w:eastAsia="標楷體" w:hAnsi="標楷體" w:hint="eastAsia"/>
          <w:color w:val="000000" w:themeColor="text1"/>
          <w:sz w:val="32"/>
          <w:szCs w:val="32"/>
        </w:rPr>
        <w:t>。</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運用多元管道(如結合老人或樂齡學習、鄰里活動等)，以及利用高齡者易接觸的媒介(如電視、宣傳單等)，提升教育及宣導的成效。</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依據高齡者的消費需求，設定對應之宣導主題(如日常消費議題、詐騙防制、以及藥品與健康食品等)。</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培訓高齡者消保教育、教案設計師資，並培育種子師資。</w:t>
      </w:r>
    </w:p>
    <w:p w:rsidR="003D251B" w:rsidRPr="00A73EE1" w:rsidRDefault="003D251B" w:rsidP="00A10FEE">
      <w:pPr>
        <w:pStyle w:val="a3"/>
        <w:numPr>
          <w:ilvl w:val="0"/>
          <w:numId w:val="4"/>
        </w:numPr>
        <w:tabs>
          <w:tab w:val="left" w:pos="0"/>
        </w:tabs>
        <w:adjustRightInd/>
        <w:spacing w:beforeLines="50" w:before="180"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維護高齡者相關商品及服務的安全及公平</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lastRenderedPageBreak/>
        <w:t>檢討改進高齡者相關商品及服務的安全及衞生標準或規範，並使其內容能符合高齡者的身心特性。</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加強針對以高齡者為訴求之商品及服務的審查(含標示、警語、廣告、資訊、清楚度及簡易度)、督導及查核。</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發布高齡者相關商品及服務的相關資</w:t>
      </w:r>
      <w:r w:rsidRPr="00A73EE1">
        <w:rPr>
          <w:rFonts w:ascii="標楷體" w:eastAsia="標楷體" w:hAnsi="標楷體"/>
          <w:color w:val="000000" w:themeColor="text1"/>
          <w:sz w:val="32"/>
          <w:szCs w:val="32"/>
        </w:rPr>
        <w:t>(</w:t>
      </w:r>
      <w:r w:rsidRPr="00A73EE1">
        <w:rPr>
          <w:rFonts w:ascii="標楷體" w:eastAsia="標楷體" w:hAnsi="標楷體" w:hint="eastAsia"/>
          <w:color w:val="000000" w:themeColor="text1"/>
          <w:sz w:val="32"/>
          <w:szCs w:val="32"/>
        </w:rPr>
        <w:t>警</w:t>
      </w:r>
      <w:r w:rsidRPr="00A73EE1">
        <w:rPr>
          <w:rFonts w:ascii="標楷體" w:eastAsia="標楷體" w:hAnsi="標楷體"/>
          <w:color w:val="000000" w:themeColor="text1"/>
          <w:sz w:val="32"/>
          <w:szCs w:val="32"/>
        </w:rPr>
        <w:t>)</w:t>
      </w:r>
      <w:r w:rsidRPr="00A73EE1">
        <w:rPr>
          <w:rFonts w:ascii="標楷體" w:eastAsia="標楷體" w:hAnsi="標楷體" w:hint="eastAsia"/>
          <w:color w:val="000000" w:themeColor="text1"/>
          <w:sz w:val="32"/>
          <w:szCs w:val="32"/>
        </w:rPr>
        <w:t>訊。</w:t>
      </w:r>
    </w:p>
    <w:p w:rsidR="003D251B" w:rsidRPr="00A73EE1" w:rsidRDefault="003D251B" w:rsidP="003D251B">
      <w:pPr>
        <w:pStyle w:val="a3"/>
        <w:numPr>
          <w:ilvl w:val="0"/>
          <w:numId w:val="4"/>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防制消費詐欺及不法行為</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加強對高齡者消費詐欺與不當行銷手法的防制及查緝。</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鼓勵高齡者主動蒐集及舉發消費相關的疑似不法事證。</w:t>
      </w:r>
    </w:p>
    <w:p w:rsidR="003D251B" w:rsidRPr="00A73EE1" w:rsidRDefault="003D251B" w:rsidP="003D251B">
      <w:pPr>
        <w:pStyle w:val="a3"/>
        <w:numPr>
          <w:ilvl w:val="1"/>
          <w:numId w:val="4"/>
        </w:numPr>
        <w:tabs>
          <w:tab w:val="left" w:pos="0"/>
        </w:tabs>
        <w:adjustRightInd/>
        <w:spacing w:line="500" w:lineRule="exact"/>
        <w:ind w:leftChars="0" w:left="1276" w:hanging="556"/>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推廣高齡者財產信託、監護及輔助制度，保護高齡者的財產免於因消費詐欺或締結不公平契約而遭受不當損失。</w:t>
      </w:r>
    </w:p>
    <w:p w:rsidR="003D251B" w:rsidRPr="00A73EE1" w:rsidRDefault="003D251B" w:rsidP="00A10FEE">
      <w:pPr>
        <w:pStyle w:val="a3"/>
        <w:numPr>
          <w:ilvl w:val="0"/>
          <w:numId w:val="2"/>
        </w:numPr>
        <w:tabs>
          <w:tab w:val="left" w:pos="0"/>
        </w:tabs>
        <w:adjustRightInd/>
        <w:spacing w:beforeLines="50" w:before="180"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增進高齡者運用消費諮詢及救濟服務</w:t>
      </w:r>
    </w:p>
    <w:p w:rsidR="003D251B" w:rsidRPr="00A73EE1" w:rsidRDefault="003D251B" w:rsidP="003D251B">
      <w:pPr>
        <w:pStyle w:val="a3"/>
        <w:numPr>
          <w:ilvl w:val="0"/>
          <w:numId w:val="5"/>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強化主管機關及企業經營者對高齡者友善的消費諮詢及救濟服務，提升其運用相關服務的意願。</w:t>
      </w:r>
    </w:p>
    <w:p w:rsidR="003D251B" w:rsidRPr="00A73EE1" w:rsidRDefault="003D251B" w:rsidP="003D251B">
      <w:pPr>
        <w:pStyle w:val="a3"/>
        <w:numPr>
          <w:ilvl w:val="0"/>
          <w:numId w:val="5"/>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結合長照服務機構、慈善團體、鄰里組織的關懷服務，主動瞭解高齡者遭遇的消費問題並協助其提出諮詢及救濟。</w:t>
      </w:r>
    </w:p>
    <w:p w:rsidR="003D251B" w:rsidRPr="00A73EE1" w:rsidRDefault="003D251B" w:rsidP="00A10FEE">
      <w:pPr>
        <w:pStyle w:val="a3"/>
        <w:numPr>
          <w:ilvl w:val="0"/>
          <w:numId w:val="2"/>
        </w:numPr>
        <w:tabs>
          <w:tab w:val="left" w:pos="0"/>
        </w:tabs>
        <w:adjustRightInd/>
        <w:spacing w:beforeLines="50" w:before="180"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強化高齡者消保行政效能</w:t>
      </w:r>
    </w:p>
    <w:p w:rsidR="003D251B" w:rsidRPr="00A73EE1" w:rsidRDefault="003D251B" w:rsidP="003D251B">
      <w:pPr>
        <w:pStyle w:val="a3"/>
        <w:numPr>
          <w:ilvl w:val="0"/>
          <w:numId w:val="6"/>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充實相關行政資源，並結合民間力量，有效推動高齡者消保工作。</w:t>
      </w:r>
    </w:p>
    <w:p w:rsidR="003D251B" w:rsidRPr="00A73EE1" w:rsidRDefault="003D251B" w:rsidP="003D251B">
      <w:pPr>
        <w:pStyle w:val="a3"/>
        <w:numPr>
          <w:ilvl w:val="0"/>
          <w:numId w:val="6"/>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辦理高齡者消費意識、行為及需求之調查研究，及統計分析高齡者消費爭議案件，作為施政的參考。</w:t>
      </w:r>
    </w:p>
    <w:p w:rsidR="003D251B" w:rsidRPr="00A73EE1" w:rsidRDefault="003D251B" w:rsidP="003D251B">
      <w:pPr>
        <w:pStyle w:val="a3"/>
        <w:numPr>
          <w:ilvl w:val="0"/>
          <w:numId w:val="6"/>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蒐集高齡者消費受害案例資訊，究明事件原因並研擬防處策略，避免類似事件之再度發生。</w:t>
      </w:r>
    </w:p>
    <w:p w:rsidR="003D251B" w:rsidRPr="00A73EE1" w:rsidRDefault="003D251B" w:rsidP="003D251B">
      <w:pPr>
        <w:pStyle w:val="a3"/>
        <w:numPr>
          <w:ilvl w:val="0"/>
          <w:numId w:val="6"/>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lastRenderedPageBreak/>
        <w:t>邀集產、官、學界及民間團體代表，溝通策進高齡者消保業務的推動情形。</w:t>
      </w:r>
    </w:p>
    <w:p w:rsidR="003D251B" w:rsidRPr="00A73EE1" w:rsidRDefault="003D251B" w:rsidP="00A10FEE">
      <w:pPr>
        <w:pStyle w:val="a3"/>
        <w:spacing w:beforeLines="100" w:before="360" w:line="500" w:lineRule="exact"/>
        <w:ind w:leftChars="0" w:left="0"/>
        <w:jc w:val="center"/>
        <w:rPr>
          <w:rFonts w:ascii="標楷體" w:eastAsia="標楷體" w:hAnsi="標楷體"/>
          <w:b/>
          <w:color w:val="000000" w:themeColor="text1"/>
          <w:sz w:val="40"/>
          <w:szCs w:val="40"/>
        </w:rPr>
      </w:pPr>
      <w:r w:rsidRPr="00A73EE1">
        <w:rPr>
          <w:rFonts w:ascii="標楷體" w:eastAsia="標楷體" w:hAnsi="標楷體" w:hint="eastAsia"/>
          <w:b/>
          <w:color w:val="000000" w:themeColor="text1"/>
          <w:sz w:val="40"/>
          <w:szCs w:val="40"/>
        </w:rPr>
        <w:t>肆、其他</w:t>
      </w:r>
    </w:p>
    <w:p w:rsidR="003D251B" w:rsidRPr="00A73EE1" w:rsidRDefault="003D251B" w:rsidP="003D251B">
      <w:pPr>
        <w:pStyle w:val="a3"/>
        <w:numPr>
          <w:ilvl w:val="0"/>
          <w:numId w:val="7"/>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主管機關應參照本綱領及年度消費者保護計畫，適時檢討增修(訂)相關法規、定型化契約範本暨其應記載及不得記載事項，或制定專法。</w:t>
      </w:r>
    </w:p>
    <w:p w:rsidR="003D251B" w:rsidRPr="00A73EE1" w:rsidRDefault="003D251B" w:rsidP="003D251B">
      <w:pPr>
        <w:pStyle w:val="a3"/>
        <w:numPr>
          <w:ilvl w:val="0"/>
          <w:numId w:val="7"/>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主管機關在研訂高齡者消保相關措施及配套的過程中，應儘可能邀請高齡者代表及消費者保護團體參與提供意見。</w:t>
      </w:r>
    </w:p>
    <w:p w:rsidR="003D251B" w:rsidRPr="00A73EE1" w:rsidRDefault="003D251B" w:rsidP="003D251B">
      <w:pPr>
        <w:pStyle w:val="a3"/>
        <w:numPr>
          <w:ilvl w:val="0"/>
          <w:numId w:val="7"/>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本綱領推動策略未盡事項，主管機關應依據職掌法規及本綱領政策目標，自行規劃推動。</w:t>
      </w:r>
    </w:p>
    <w:p w:rsidR="005559B2" w:rsidRPr="00135B2A" w:rsidRDefault="003D251B" w:rsidP="00135B2A">
      <w:pPr>
        <w:pStyle w:val="a3"/>
        <w:numPr>
          <w:ilvl w:val="0"/>
          <w:numId w:val="7"/>
        </w:numPr>
        <w:tabs>
          <w:tab w:val="left" w:pos="0"/>
        </w:tabs>
        <w:adjustRightInd/>
        <w:spacing w:line="500" w:lineRule="exact"/>
        <w:ind w:leftChars="0"/>
        <w:jc w:val="both"/>
        <w:textAlignment w:val="auto"/>
        <w:rPr>
          <w:rFonts w:ascii="標楷體" w:eastAsia="標楷體" w:hAnsi="標楷體"/>
          <w:color w:val="000000" w:themeColor="text1"/>
          <w:sz w:val="32"/>
          <w:szCs w:val="32"/>
        </w:rPr>
      </w:pPr>
      <w:r w:rsidRPr="00A73EE1">
        <w:rPr>
          <w:rFonts w:ascii="標楷體" w:eastAsia="標楷體" w:hAnsi="標楷體" w:hint="eastAsia"/>
          <w:color w:val="000000" w:themeColor="text1"/>
          <w:sz w:val="32"/>
          <w:szCs w:val="32"/>
        </w:rPr>
        <w:t>本綱領應參酌國內外發展趨勢，適時檢討修正。</w:t>
      </w:r>
    </w:p>
    <w:sectPr w:rsidR="005559B2" w:rsidRPr="00135B2A" w:rsidSect="005559B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6E0" w:rsidRDefault="001E16E0" w:rsidP="00975FF9">
      <w:r>
        <w:separator/>
      </w:r>
    </w:p>
  </w:endnote>
  <w:endnote w:type="continuationSeparator" w:id="0">
    <w:p w:rsidR="001E16E0" w:rsidRDefault="001E16E0" w:rsidP="0097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6E0" w:rsidRDefault="001E16E0" w:rsidP="00975FF9">
      <w:r>
        <w:separator/>
      </w:r>
    </w:p>
  </w:footnote>
  <w:footnote w:type="continuationSeparator" w:id="0">
    <w:p w:rsidR="001E16E0" w:rsidRDefault="001E16E0" w:rsidP="00975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C5A"/>
    <w:multiLevelType w:val="hybridMultilevel"/>
    <w:tmpl w:val="B35A1E16"/>
    <w:lvl w:ilvl="0" w:tplc="3AB24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A050FC"/>
    <w:multiLevelType w:val="hybridMultilevel"/>
    <w:tmpl w:val="29B0A218"/>
    <w:lvl w:ilvl="0" w:tplc="5BA89AC0">
      <w:start w:val="1"/>
      <w:numFmt w:val="taiwaneseCountingThousand"/>
      <w:lvlText w:val="(%1)"/>
      <w:lvlJc w:val="left"/>
      <w:pPr>
        <w:ind w:left="960" w:hanging="720"/>
      </w:pPr>
      <w:rPr>
        <w:rFonts w:hint="default"/>
      </w:rPr>
    </w:lvl>
    <w:lvl w:ilvl="1" w:tplc="F6DCE5C4">
      <w:start w:val="1"/>
      <w:numFmt w:val="decimal"/>
      <w:lvlText w:val="%2、"/>
      <w:lvlJc w:val="left"/>
      <w:pPr>
        <w:ind w:left="1440" w:hanging="720"/>
      </w:pPr>
      <w:rPr>
        <w:rFonts w:ascii="標楷體"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5532294D"/>
    <w:multiLevelType w:val="hybridMultilevel"/>
    <w:tmpl w:val="48D6985E"/>
    <w:lvl w:ilvl="0" w:tplc="3AB24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7436073"/>
    <w:multiLevelType w:val="hybridMultilevel"/>
    <w:tmpl w:val="ED90485C"/>
    <w:lvl w:ilvl="0" w:tplc="5BA89AC0">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5E117331"/>
    <w:multiLevelType w:val="hybridMultilevel"/>
    <w:tmpl w:val="87763D98"/>
    <w:lvl w:ilvl="0" w:tplc="4BCC3B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611644EB"/>
    <w:multiLevelType w:val="hybridMultilevel"/>
    <w:tmpl w:val="349CBB02"/>
    <w:lvl w:ilvl="0" w:tplc="D082BC06">
      <w:start w:val="1"/>
      <w:numFmt w:val="taiwaneseCountingThousand"/>
      <w:lvlText w:val="(%1)"/>
      <w:lvlJc w:val="left"/>
      <w:pPr>
        <w:ind w:left="960" w:hanging="720"/>
      </w:pPr>
      <w:rPr>
        <w:rFonts w:hint="default"/>
        <w:color w:val="000000" w:themeColor="text1"/>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776C2A33"/>
    <w:multiLevelType w:val="hybridMultilevel"/>
    <w:tmpl w:val="CD70EFA8"/>
    <w:lvl w:ilvl="0" w:tplc="83B2DA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1B"/>
    <w:rsid w:val="0003243F"/>
    <w:rsid w:val="000E22AB"/>
    <w:rsid w:val="00135B2A"/>
    <w:rsid w:val="00190281"/>
    <w:rsid w:val="001E16E0"/>
    <w:rsid w:val="00323778"/>
    <w:rsid w:val="00383C26"/>
    <w:rsid w:val="003D251B"/>
    <w:rsid w:val="00451815"/>
    <w:rsid w:val="004536EC"/>
    <w:rsid w:val="005559B2"/>
    <w:rsid w:val="00575D93"/>
    <w:rsid w:val="0078686A"/>
    <w:rsid w:val="00813E3B"/>
    <w:rsid w:val="00842787"/>
    <w:rsid w:val="00886ED6"/>
    <w:rsid w:val="00975FF9"/>
    <w:rsid w:val="009847B7"/>
    <w:rsid w:val="009F6AD5"/>
    <w:rsid w:val="00A10FEE"/>
    <w:rsid w:val="00C1142F"/>
    <w:rsid w:val="00DB6354"/>
    <w:rsid w:val="00E51CEF"/>
    <w:rsid w:val="00EF050D"/>
    <w:rsid w:val="00FC361B"/>
    <w:rsid w:val="00FC592A"/>
    <w:rsid w:val="00FE67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51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1B"/>
    <w:pPr>
      <w:adjustRightInd w:val="0"/>
      <w:spacing w:line="360" w:lineRule="atLeast"/>
      <w:ind w:leftChars="200" w:left="480"/>
      <w:textAlignment w:val="baseline"/>
    </w:pPr>
    <w:rPr>
      <w:kern w:val="0"/>
      <w:szCs w:val="20"/>
    </w:rPr>
  </w:style>
  <w:style w:type="paragraph" w:styleId="a4">
    <w:name w:val="header"/>
    <w:basedOn w:val="a"/>
    <w:link w:val="a5"/>
    <w:uiPriority w:val="99"/>
    <w:semiHidden/>
    <w:unhideWhenUsed/>
    <w:rsid w:val="00975FF9"/>
    <w:pPr>
      <w:tabs>
        <w:tab w:val="center" w:pos="4153"/>
        <w:tab w:val="right" w:pos="8306"/>
      </w:tabs>
      <w:snapToGrid w:val="0"/>
    </w:pPr>
    <w:rPr>
      <w:sz w:val="20"/>
      <w:szCs w:val="20"/>
    </w:rPr>
  </w:style>
  <w:style w:type="character" w:customStyle="1" w:styleId="a5">
    <w:name w:val="頁首 字元"/>
    <w:basedOn w:val="a0"/>
    <w:link w:val="a4"/>
    <w:uiPriority w:val="99"/>
    <w:semiHidden/>
    <w:rsid w:val="00975FF9"/>
    <w:rPr>
      <w:rFonts w:ascii="Times New Roman" w:eastAsia="新細明體" w:hAnsi="Times New Roman" w:cs="Times New Roman"/>
      <w:sz w:val="20"/>
      <w:szCs w:val="20"/>
    </w:rPr>
  </w:style>
  <w:style w:type="paragraph" w:styleId="a6">
    <w:name w:val="footer"/>
    <w:basedOn w:val="a"/>
    <w:link w:val="a7"/>
    <w:uiPriority w:val="99"/>
    <w:semiHidden/>
    <w:unhideWhenUsed/>
    <w:rsid w:val="00975FF9"/>
    <w:pPr>
      <w:tabs>
        <w:tab w:val="center" w:pos="4153"/>
        <w:tab w:val="right" w:pos="8306"/>
      </w:tabs>
      <w:snapToGrid w:val="0"/>
    </w:pPr>
    <w:rPr>
      <w:sz w:val="20"/>
      <w:szCs w:val="20"/>
    </w:rPr>
  </w:style>
  <w:style w:type="character" w:customStyle="1" w:styleId="a7">
    <w:name w:val="頁尾 字元"/>
    <w:basedOn w:val="a0"/>
    <w:link w:val="a6"/>
    <w:uiPriority w:val="99"/>
    <w:semiHidden/>
    <w:rsid w:val="00975FF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51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1B"/>
    <w:pPr>
      <w:adjustRightInd w:val="0"/>
      <w:spacing w:line="360" w:lineRule="atLeast"/>
      <w:ind w:leftChars="200" w:left="480"/>
      <w:textAlignment w:val="baseline"/>
    </w:pPr>
    <w:rPr>
      <w:kern w:val="0"/>
      <w:szCs w:val="20"/>
    </w:rPr>
  </w:style>
  <w:style w:type="paragraph" w:styleId="a4">
    <w:name w:val="header"/>
    <w:basedOn w:val="a"/>
    <w:link w:val="a5"/>
    <w:uiPriority w:val="99"/>
    <w:semiHidden/>
    <w:unhideWhenUsed/>
    <w:rsid w:val="00975FF9"/>
    <w:pPr>
      <w:tabs>
        <w:tab w:val="center" w:pos="4153"/>
        <w:tab w:val="right" w:pos="8306"/>
      </w:tabs>
      <w:snapToGrid w:val="0"/>
    </w:pPr>
    <w:rPr>
      <w:sz w:val="20"/>
      <w:szCs w:val="20"/>
    </w:rPr>
  </w:style>
  <w:style w:type="character" w:customStyle="1" w:styleId="a5">
    <w:name w:val="頁首 字元"/>
    <w:basedOn w:val="a0"/>
    <w:link w:val="a4"/>
    <w:uiPriority w:val="99"/>
    <w:semiHidden/>
    <w:rsid w:val="00975FF9"/>
    <w:rPr>
      <w:rFonts w:ascii="Times New Roman" w:eastAsia="新細明體" w:hAnsi="Times New Roman" w:cs="Times New Roman"/>
      <w:sz w:val="20"/>
      <w:szCs w:val="20"/>
    </w:rPr>
  </w:style>
  <w:style w:type="paragraph" w:styleId="a6">
    <w:name w:val="footer"/>
    <w:basedOn w:val="a"/>
    <w:link w:val="a7"/>
    <w:uiPriority w:val="99"/>
    <w:semiHidden/>
    <w:unhideWhenUsed/>
    <w:rsid w:val="00975FF9"/>
    <w:pPr>
      <w:tabs>
        <w:tab w:val="center" w:pos="4153"/>
        <w:tab w:val="right" w:pos="8306"/>
      </w:tabs>
      <w:snapToGrid w:val="0"/>
    </w:pPr>
    <w:rPr>
      <w:sz w:val="20"/>
      <w:szCs w:val="20"/>
    </w:rPr>
  </w:style>
  <w:style w:type="character" w:customStyle="1" w:styleId="a7">
    <w:name w:val="頁尾 字元"/>
    <w:basedOn w:val="a0"/>
    <w:link w:val="a6"/>
    <w:uiPriority w:val="99"/>
    <w:semiHidden/>
    <w:rsid w:val="00975FF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1329</Characters>
  <Application>Microsoft Office Word</Application>
  <DocSecurity>0</DocSecurity>
  <Lines>11</Lines>
  <Paragraphs>3</Paragraphs>
  <ScaleCrop>false</ScaleCrop>
  <Company>EY</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胡效天</cp:lastModifiedBy>
  <cp:revision>2</cp:revision>
  <cp:lastPrinted>2016-02-02T01:57:00Z</cp:lastPrinted>
  <dcterms:created xsi:type="dcterms:W3CDTF">2016-02-26T05:29:00Z</dcterms:created>
  <dcterms:modified xsi:type="dcterms:W3CDTF">2016-02-26T05:29:00Z</dcterms:modified>
</cp:coreProperties>
</file>