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F52F7" w:rsidRPr="007F52F7" w:rsidTr="007F52F7">
        <w:trPr>
          <w:tblCellSpacing w:w="0" w:type="dxa"/>
        </w:trPr>
        <w:tc>
          <w:tcPr>
            <w:tcW w:w="0" w:type="auto"/>
            <w:hideMark/>
          </w:tcPr>
          <w:p w:rsidR="007F52F7" w:rsidRPr="007F52F7" w:rsidRDefault="007F52F7" w:rsidP="007F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 wp14:anchorId="0924D9DC" wp14:editId="65C69108">
                  <wp:extent cx="190500" cy="190500"/>
                  <wp:effectExtent l="0" t="0" r="0" b="0"/>
                  <wp:docPr id="45" name="圖片 45" descr="http://lhrb.tycg.gov.tw/img/icon/icon_c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hrb.tycg.gov.tw/img/icon/icon_c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F7">
              <w:rPr>
                <w:rFonts w:ascii="新細明體" w:eastAsia="新細明體" w:hAnsi="新細明體" w:cs="新細明體"/>
                <w:kern w:val="0"/>
                <w:szCs w:val="24"/>
              </w:rPr>
              <w:t>勞資爭議調解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(參考網址:</w:t>
            </w:r>
            <w:r>
              <w:t xml:space="preserve"> </w:t>
            </w:r>
            <w:r w:rsidRPr="007F52F7">
              <w:rPr>
                <w:rFonts w:ascii="新細明體" w:eastAsia="新細明體" w:hAnsi="新細明體" w:cs="新細明體"/>
                <w:kern w:val="0"/>
                <w:szCs w:val="24"/>
              </w:rPr>
              <w:t>http://lhrb.tycg.gov.tw/</w:t>
            </w:r>
            <w:r w:rsidRPr="007F52F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勞資關係服務 &gt;</w:t>
            </w:r>
            <w:bookmarkStart w:id="0" w:name="_GoBack"/>
            <w:bookmarkEnd w:id="0"/>
            <w:r w:rsidRPr="007F52F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勞資爭議調解</w:t>
            </w:r>
            <w:r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</w:tr>
      <w:tr w:rsidR="007F52F7" w:rsidRPr="007F52F7" w:rsidTr="007F52F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4900" w:type="pct"/>
              <w:jc w:val="center"/>
              <w:tblCellSpacing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6469"/>
            </w:tblGrid>
            <w:tr w:rsidR="007F52F7" w:rsidRPr="007F52F7" w:rsidTr="007F52F7">
              <w:trPr>
                <w:tblCellSpacing w:w="24" w:type="dxa"/>
                <w:jc w:val="center"/>
              </w:trPr>
              <w:tc>
                <w:tcPr>
                  <w:tcW w:w="981" w:type="pct"/>
                  <w:hideMark/>
                </w:tcPr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 wp14:anchorId="0DB6BE05" wp14:editId="36A47EB0">
                        <wp:extent cx="83820" cy="83820"/>
                        <wp:effectExtent l="0" t="0" r="0" b="0"/>
                        <wp:docPr id="44" name="圖片 44" descr="http://lhrb.tycg.gov.tw/img/icon/icon_c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lhrb.tycg.gov.tw/img/icon/icon_c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" cy="83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52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發布單位：</w:t>
                  </w:r>
                </w:p>
              </w:tc>
              <w:tc>
                <w:tcPr>
                  <w:tcW w:w="3926" w:type="pct"/>
                  <w:hideMark/>
                </w:tcPr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勞動局</w:t>
                  </w:r>
                </w:p>
              </w:tc>
            </w:tr>
            <w:tr w:rsidR="007F52F7" w:rsidRPr="007F52F7" w:rsidTr="007F52F7">
              <w:trPr>
                <w:tblCellSpacing w:w="24" w:type="dxa"/>
                <w:jc w:val="center"/>
              </w:trPr>
              <w:tc>
                <w:tcPr>
                  <w:tcW w:w="981" w:type="pct"/>
                  <w:hideMark/>
                </w:tcPr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 wp14:anchorId="5F9CFA9B" wp14:editId="2446EFE4">
                        <wp:extent cx="83820" cy="83820"/>
                        <wp:effectExtent l="0" t="0" r="0" b="0"/>
                        <wp:docPr id="43" name="圖片 43" descr="http://lhrb.tycg.gov.tw/img/icon/icon_c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lhrb.tycg.gov.tw/img/icon/icon_c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" cy="83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52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　　類：</w:t>
                  </w:r>
                </w:p>
              </w:tc>
              <w:tc>
                <w:tcPr>
                  <w:tcW w:w="3926" w:type="pct"/>
                  <w:hideMark/>
                </w:tcPr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勞資爭議調解</w:t>
                  </w:r>
                </w:p>
              </w:tc>
            </w:tr>
            <w:tr w:rsidR="007F52F7" w:rsidRPr="007F52F7">
              <w:trPr>
                <w:tblCellSpacing w:w="24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7F52F7" w:rsidRPr="007F52F7" w:rsidRDefault="007F52F7" w:rsidP="007F52F7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0000CC"/>
                      <w:kern w:val="0"/>
                      <w:sz w:val="27"/>
                      <w:szCs w:val="27"/>
                    </w:rPr>
                    <w:t>◆</w:t>
                  </w: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7030A0"/>
                      <w:kern w:val="0"/>
                      <w:sz w:val="27"/>
                      <w:szCs w:val="27"/>
                    </w:rPr>
                    <w:t>法源依據：</w:t>
                  </w: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勞資爭議處理法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0000CC"/>
                      <w:kern w:val="0"/>
                      <w:sz w:val="27"/>
                      <w:szCs w:val="27"/>
                    </w:rPr>
                    <w:t>◆</w:t>
                  </w: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7030A0"/>
                      <w:kern w:val="0"/>
                      <w:sz w:val="27"/>
                      <w:szCs w:val="27"/>
                    </w:rPr>
                    <w:t>定義：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 xml:space="preserve">       指勞資雙方無法自行解決爭議，任一方得向勞工工作所在地主管機關申請調解，由中立第三方協助雙方達成均可接受的方案，甚至積極提供建議方案以求爭議可以順利解決。 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0000CC"/>
                      <w:kern w:val="0"/>
                      <w:sz w:val="27"/>
                      <w:szCs w:val="27"/>
                    </w:rPr>
                    <w:t>◆</w:t>
                  </w: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7030A0"/>
                      <w:kern w:val="0"/>
                      <w:sz w:val="27"/>
                      <w:szCs w:val="27"/>
                    </w:rPr>
                    <w:t>申請要件：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    申請人與相對人間具有(或曾經具有)</w:t>
                  </w:r>
                  <w:proofErr w:type="gramStart"/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僱傭</w:t>
                  </w:r>
                  <w:proofErr w:type="gramEnd"/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關係，且因</w:t>
                  </w:r>
                  <w:proofErr w:type="gramStart"/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僱傭</w:t>
                  </w:r>
                  <w:proofErr w:type="gramEnd"/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關  係下因發生不給付工資、資遣費、退休金或職災補償等爭議，致勞資雙方任一方權益受損者，始得向主管機關申請調解。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 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0000CC"/>
                      <w:kern w:val="0"/>
                      <w:sz w:val="27"/>
                      <w:szCs w:val="27"/>
                    </w:rPr>
                    <w:t>◆</w:t>
                  </w: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7030A0"/>
                      <w:kern w:val="0"/>
                      <w:sz w:val="27"/>
                      <w:szCs w:val="27"/>
                    </w:rPr>
                    <w:t>如何申請：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    申請人必須以勞方勞務提供地(即工作地點或職災發生地)之</w:t>
                  </w:r>
                  <w:proofErr w:type="gramStart"/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勞</w:t>
                  </w:r>
                  <w:proofErr w:type="gramEnd"/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政行政主管機關提出書面調解申請。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 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0000CC"/>
                      <w:kern w:val="0"/>
                      <w:sz w:val="27"/>
                      <w:szCs w:val="27"/>
                    </w:rPr>
                    <w:t>◆</w:t>
                  </w: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7030A0"/>
                      <w:kern w:val="0"/>
                      <w:sz w:val="27"/>
                      <w:szCs w:val="27"/>
                    </w:rPr>
                    <w:t>調解方式：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 1.由主管機關委託民間團體指派調解人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 2.由主管機關指派調解人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 3.由主管機關組成調解委員會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 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0000CC"/>
                      <w:kern w:val="0"/>
                      <w:sz w:val="27"/>
                      <w:szCs w:val="27"/>
                    </w:rPr>
                    <w:t>◆</w:t>
                  </w: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7030A0"/>
                      <w:kern w:val="0"/>
                      <w:sz w:val="27"/>
                      <w:szCs w:val="27"/>
                    </w:rPr>
                    <w:t>處理時程：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 1.獨任調解人處理時程為20天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 2.調解委員會處理時程為49天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 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0000CC"/>
                      <w:kern w:val="0"/>
                      <w:sz w:val="27"/>
                      <w:szCs w:val="27"/>
                    </w:rPr>
                    <w:t>◆</w:t>
                  </w:r>
                  <w:r w:rsidRPr="007F52F7">
                    <w:rPr>
                      <w:rFonts w:ascii="新細明體" w:eastAsia="新細明體" w:hAnsi="新細明體" w:cs="新細明體"/>
                      <w:b/>
                      <w:bCs/>
                      <w:color w:val="7030A0"/>
                      <w:kern w:val="0"/>
                      <w:sz w:val="27"/>
                      <w:szCs w:val="27"/>
                    </w:rPr>
                    <w:t>調解效力：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 1.調解成立後，任何一方不履行時，得向管轄法院聲請強制執行。</w:t>
                  </w:r>
                </w:p>
                <w:p w:rsidR="007F52F7" w:rsidRPr="007F52F7" w:rsidRDefault="007F52F7" w:rsidP="007F52F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F52F7">
                    <w:rPr>
                      <w:rFonts w:ascii="新細明體" w:eastAsia="新細明體" w:hAnsi="新細明體" w:cs="新細明體"/>
                      <w:kern w:val="0"/>
                      <w:sz w:val="27"/>
                      <w:szCs w:val="27"/>
                    </w:rPr>
                    <w:t>    2.調解不成立時，可尋求訴訟程序解決。</w:t>
                  </w:r>
                </w:p>
              </w:tc>
            </w:tr>
          </w:tbl>
          <w:p w:rsidR="007F52F7" w:rsidRPr="007F52F7" w:rsidRDefault="007F52F7" w:rsidP="007F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7F52F7" w:rsidRPr="007F52F7" w:rsidTr="007F52F7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F52F7" w:rsidRPr="007F52F7" w:rsidRDefault="007F52F7" w:rsidP="007F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 wp14:anchorId="506DC0AA" wp14:editId="1D851480">
                  <wp:extent cx="99060" cy="22860"/>
                  <wp:effectExtent l="0" t="0" r="0" b="0"/>
                  <wp:docPr id="1" name="圖片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2F7" w:rsidRPr="007F52F7" w:rsidTr="007F52F7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F52F7" w:rsidRPr="007F52F7" w:rsidRDefault="007F52F7" w:rsidP="007F52F7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E463F0" w:rsidRDefault="00104FD8">
      <w:pPr>
        <w:rPr>
          <w:rFonts w:hint="eastAsia"/>
        </w:rPr>
      </w:pPr>
    </w:p>
    <w:p w:rsidR="007F52F7" w:rsidRDefault="007F52F7">
      <w:pPr>
        <w:rPr>
          <w:rFonts w:hint="eastAsia"/>
        </w:rPr>
      </w:pPr>
    </w:p>
    <w:p w:rsidR="007F52F7" w:rsidRDefault="007F52F7">
      <w:pPr>
        <w:rPr>
          <w:rFonts w:hint="eastAsia"/>
        </w:rPr>
      </w:pPr>
    </w:p>
    <w:sectPr w:rsidR="007F52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D8" w:rsidRDefault="00104FD8" w:rsidP="007F52F7">
      <w:r>
        <w:separator/>
      </w:r>
    </w:p>
  </w:endnote>
  <w:endnote w:type="continuationSeparator" w:id="0">
    <w:p w:rsidR="00104FD8" w:rsidRDefault="00104FD8" w:rsidP="007F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D8" w:rsidRDefault="00104FD8" w:rsidP="007F52F7">
      <w:r>
        <w:separator/>
      </w:r>
    </w:p>
  </w:footnote>
  <w:footnote w:type="continuationSeparator" w:id="0">
    <w:p w:rsidR="00104FD8" w:rsidRDefault="00104FD8" w:rsidP="007F5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F7"/>
    <w:rsid w:val="00104FD8"/>
    <w:rsid w:val="007F52F7"/>
    <w:rsid w:val="00D91BEA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F52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F52F7"/>
    <w:rPr>
      <w:b/>
      <w:bCs/>
    </w:rPr>
  </w:style>
  <w:style w:type="character" w:styleId="a4">
    <w:name w:val="Hyperlink"/>
    <w:basedOn w:val="a0"/>
    <w:uiPriority w:val="99"/>
    <w:semiHidden/>
    <w:unhideWhenUsed/>
    <w:rsid w:val="007F52F7"/>
    <w:rPr>
      <w:color w:val="0000FF"/>
      <w:u w:val="single"/>
    </w:rPr>
  </w:style>
  <w:style w:type="character" w:customStyle="1" w:styleId="pageview">
    <w:name w:val="pageview"/>
    <w:basedOn w:val="a0"/>
    <w:rsid w:val="007F52F7"/>
  </w:style>
  <w:style w:type="paragraph" w:styleId="a5">
    <w:name w:val="Balloon Text"/>
    <w:basedOn w:val="a"/>
    <w:link w:val="a6"/>
    <w:uiPriority w:val="99"/>
    <w:semiHidden/>
    <w:unhideWhenUsed/>
    <w:rsid w:val="007F5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52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52F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52F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F52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F52F7"/>
    <w:rPr>
      <w:b/>
      <w:bCs/>
    </w:rPr>
  </w:style>
  <w:style w:type="character" w:styleId="a4">
    <w:name w:val="Hyperlink"/>
    <w:basedOn w:val="a0"/>
    <w:uiPriority w:val="99"/>
    <w:semiHidden/>
    <w:unhideWhenUsed/>
    <w:rsid w:val="007F52F7"/>
    <w:rPr>
      <w:color w:val="0000FF"/>
      <w:u w:val="single"/>
    </w:rPr>
  </w:style>
  <w:style w:type="character" w:customStyle="1" w:styleId="pageview">
    <w:name w:val="pageview"/>
    <w:basedOn w:val="a0"/>
    <w:rsid w:val="007F52F7"/>
  </w:style>
  <w:style w:type="paragraph" w:styleId="a5">
    <w:name w:val="Balloon Text"/>
    <w:basedOn w:val="a"/>
    <w:link w:val="a6"/>
    <w:uiPriority w:val="99"/>
    <w:semiHidden/>
    <w:unhideWhenUsed/>
    <w:rsid w:val="007F5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52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52F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52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陳麗瑛</dc:creator>
  <cp:lastModifiedBy>陳麗瑛</cp:lastModifiedBy>
  <cp:revision>1</cp:revision>
  <dcterms:created xsi:type="dcterms:W3CDTF">2016-02-19T01:53:00Z</dcterms:created>
  <dcterms:modified xsi:type="dcterms:W3CDTF">2016-02-19T02:19:00Z</dcterms:modified>
</cp:coreProperties>
</file>