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08" w:rsidRPr="00D400EB" w:rsidRDefault="0099729A" w:rsidP="0099729A">
      <w:pPr>
        <w:pStyle w:val="2"/>
        <w:spacing w:line="460" w:lineRule="exact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D400EB">
        <w:rPr>
          <w:rFonts w:ascii="標楷體" w:eastAsia="標楷體" w:hAnsi="標楷體" w:hint="eastAsia"/>
          <w:b/>
          <w:sz w:val="36"/>
          <w:szCs w:val="36"/>
        </w:rPr>
        <w:t>修正</w:t>
      </w:r>
      <w:r w:rsidR="00B27308" w:rsidRPr="00D400EB">
        <w:rPr>
          <w:rFonts w:ascii="標楷體" w:eastAsia="標楷體" w:hAnsi="標楷體" w:hint="eastAsia"/>
          <w:b/>
          <w:sz w:val="36"/>
          <w:szCs w:val="36"/>
        </w:rPr>
        <w:t>行政院辦理中央及地方主管機關消費者保護業務監督考核作業要點</w:t>
      </w:r>
      <w:r w:rsidR="00146F88">
        <w:rPr>
          <w:rFonts w:ascii="標楷體" w:eastAsia="標楷體" w:hAnsi="標楷體" w:hint="eastAsia"/>
          <w:b/>
          <w:sz w:val="36"/>
          <w:szCs w:val="36"/>
        </w:rPr>
        <w:t>第五點、第六點、第十點</w:t>
      </w:r>
    </w:p>
    <w:p w:rsidR="00B27308" w:rsidRPr="00193472" w:rsidRDefault="00B27308" w:rsidP="00B27308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93472">
        <w:rPr>
          <w:rFonts w:ascii="標楷體" w:eastAsia="標楷體" w:hAnsi="標楷體" w:hint="eastAsia"/>
          <w:sz w:val="28"/>
          <w:szCs w:val="28"/>
        </w:rPr>
        <w:t>五、考核項目及內容如下：</w:t>
      </w:r>
    </w:p>
    <w:p w:rsidR="00B27308" w:rsidRPr="00193472" w:rsidRDefault="00B27308" w:rsidP="00B27308">
      <w:pPr>
        <w:spacing w:line="480" w:lineRule="exact"/>
        <w:ind w:firstLineChars="128" w:firstLine="358"/>
        <w:jc w:val="both"/>
        <w:rPr>
          <w:rFonts w:ascii="標楷體" w:eastAsia="標楷體" w:hAnsi="標楷體"/>
          <w:dstrike/>
          <w:sz w:val="28"/>
          <w:szCs w:val="28"/>
        </w:rPr>
      </w:pPr>
      <w:r w:rsidRPr="00193472">
        <w:rPr>
          <w:rFonts w:ascii="標楷體" w:eastAsia="標楷體" w:hAnsi="標楷體" w:hint="eastAsia"/>
          <w:sz w:val="28"/>
          <w:szCs w:val="28"/>
        </w:rPr>
        <w:t>(一)</w:t>
      </w:r>
      <w:r w:rsidR="00296A0F" w:rsidRPr="00296A0F">
        <w:rPr>
          <w:rFonts w:ascii="標楷體" w:eastAsia="標楷體" w:hAnsi="標楷體" w:hint="eastAsia"/>
          <w:sz w:val="28"/>
          <w:szCs w:val="28"/>
        </w:rPr>
        <w:t>前次考核建議事項之處理成效。</w:t>
      </w:r>
    </w:p>
    <w:p w:rsidR="00296A0F" w:rsidRDefault="00B27308" w:rsidP="00B27308">
      <w:pPr>
        <w:spacing w:line="480" w:lineRule="exact"/>
        <w:ind w:firstLineChars="128" w:firstLine="358"/>
        <w:jc w:val="both"/>
        <w:rPr>
          <w:rFonts w:ascii="標楷體" w:eastAsia="標楷體" w:hAnsi="標楷體"/>
        </w:rPr>
      </w:pPr>
      <w:r w:rsidRPr="00193472">
        <w:rPr>
          <w:rFonts w:ascii="標楷體" w:eastAsia="標楷體" w:hAnsi="標楷體" w:hint="eastAsia"/>
          <w:sz w:val="28"/>
          <w:szCs w:val="28"/>
        </w:rPr>
        <w:t>(二)</w:t>
      </w:r>
      <w:r w:rsidR="00296A0F" w:rsidRPr="00296A0F">
        <w:rPr>
          <w:rFonts w:ascii="標楷體" w:eastAsia="標楷體" w:hAnsi="標楷體" w:hint="eastAsia"/>
          <w:sz w:val="28"/>
          <w:szCs w:val="28"/>
        </w:rPr>
        <w:t>消費者保護方案（含重大消費事項）之執行成效。</w:t>
      </w:r>
    </w:p>
    <w:p w:rsidR="00B27308" w:rsidRPr="00193472" w:rsidRDefault="00296A0F" w:rsidP="00296A0F">
      <w:pPr>
        <w:spacing w:line="480" w:lineRule="exact"/>
        <w:ind w:firstLineChars="128" w:firstLine="35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296A0F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B27308" w:rsidRPr="00193472">
        <w:rPr>
          <w:rFonts w:ascii="標楷體" w:eastAsia="標楷體" w:hAnsi="標楷體" w:hint="eastAsia"/>
          <w:sz w:val="28"/>
          <w:szCs w:val="28"/>
        </w:rPr>
        <w:t>指標性業務之執行成效：</w:t>
      </w:r>
    </w:p>
    <w:p w:rsidR="00B27308" w:rsidRPr="00193472" w:rsidRDefault="00B27308" w:rsidP="003C57D7">
      <w:pPr>
        <w:spacing w:line="480" w:lineRule="exact"/>
        <w:ind w:firstLineChars="257" w:firstLine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472">
        <w:rPr>
          <w:rFonts w:ascii="標楷體" w:eastAsia="標楷體" w:hAnsi="標楷體" w:hint="eastAsia"/>
          <w:sz w:val="28"/>
          <w:szCs w:val="28"/>
        </w:rPr>
        <w:t>1、中央主管機關：本</w:t>
      </w:r>
      <w:r w:rsidRPr="00193472">
        <w:rPr>
          <w:rFonts w:ascii="標楷體" w:eastAsia="標楷體" w:hAnsi="標楷體" w:hint="eastAsia"/>
          <w:bCs/>
          <w:sz w:val="28"/>
          <w:szCs w:val="28"/>
        </w:rPr>
        <w:t>院指示</w:t>
      </w:r>
      <w:r w:rsidRPr="00193472">
        <w:rPr>
          <w:rFonts w:ascii="標楷體" w:eastAsia="標楷體" w:hAnsi="標楷體" w:hint="eastAsia"/>
          <w:bCs/>
          <w:color w:val="000000"/>
          <w:sz w:val="28"/>
          <w:szCs w:val="28"/>
        </w:rPr>
        <w:t>或決定</w:t>
      </w:r>
      <w:r w:rsidRPr="00193472">
        <w:rPr>
          <w:rFonts w:ascii="標楷體" w:eastAsia="標楷體" w:hAnsi="標楷體" w:hint="eastAsia"/>
          <w:color w:val="000000"/>
          <w:sz w:val="28"/>
          <w:szCs w:val="28"/>
        </w:rPr>
        <w:t>事項。</w:t>
      </w:r>
    </w:p>
    <w:p w:rsidR="00B27308" w:rsidRPr="00193472" w:rsidRDefault="00B27308" w:rsidP="00B27308">
      <w:pPr>
        <w:spacing w:line="480" w:lineRule="exact"/>
        <w:ind w:firstLineChars="257" w:firstLine="720"/>
        <w:jc w:val="both"/>
        <w:rPr>
          <w:rFonts w:ascii="標楷體" w:eastAsia="標楷體" w:hAnsi="標楷體"/>
          <w:sz w:val="28"/>
          <w:szCs w:val="28"/>
        </w:rPr>
      </w:pPr>
      <w:r w:rsidRPr="00193472">
        <w:rPr>
          <w:rFonts w:ascii="標楷體" w:eastAsia="標楷體" w:hAnsi="標楷體" w:hint="eastAsia"/>
          <w:sz w:val="28"/>
          <w:szCs w:val="28"/>
        </w:rPr>
        <w:t>2、地方主管機關：</w:t>
      </w:r>
    </w:p>
    <w:p w:rsidR="00B27308" w:rsidRPr="00193472" w:rsidRDefault="00B27308" w:rsidP="00B27308">
      <w:pPr>
        <w:tabs>
          <w:tab w:val="left" w:pos="720"/>
        </w:tabs>
        <w:spacing w:line="480" w:lineRule="exact"/>
        <w:ind w:leftChars="375" w:left="1258" w:hangingChars="128" w:hanging="358"/>
        <w:jc w:val="both"/>
        <w:rPr>
          <w:rFonts w:ascii="標楷體" w:eastAsia="標楷體" w:hAnsi="標楷體"/>
          <w:sz w:val="28"/>
          <w:szCs w:val="28"/>
        </w:rPr>
      </w:pPr>
      <w:r w:rsidRPr="00193472">
        <w:rPr>
          <w:rFonts w:ascii="標楷體" w:eastAsia="標楷體" w:hAnsi="標楷體" w:hint="eastAsia"/>
          <w:sz w:val="28"/>
          <w:szCs w:val="28"/>
        </w:rPr>
        <w:t>(1)消費者保護行政機制之建置</w:t>
      </w:r>
      <w:r w:rsidRPr="00193472">
        <w:rPr>
          <w:rFonts w:ascii="標楷體" w:eastAsia="標楷體" w:hAnsi="標楷體" w:hint="eastAsia"/>
          <w:color w:val="000000"/>
          <w:sz w:val="28"/>
          <w:szCs w:val="28"/>
        </w:rPr>
        <w:t>及處理情形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193472">
        <w:rPr>
          <w:rFonts w:ascii="標楷體" w:eastAsia="標楷體" w:hAnsi="標楷體" w:hint="eastAsia"/>
          <w:color w:val="000000"/>
          <w:sz w:val="28"/>
          <w:szCs w:val="28"/>
        </w:rPr>
        <w:t>例如預算狀況、人力配置及消費者服務中心執行情形等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19347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27308" w:rsidRPr="00193472" w:rsidRDefault="00B27308" w:rsidP="00B27308">
      <w:pPr>
        <w:spacing w:line="480" w:lineRule="exact"/>
        <w:ind w:leftChars="375" w:left="1258" w:hangingChars="128" w:hanging="358"/>
        <w:jc w:val="both"/>
        <w:rPr>
          <w:rFonts w:ascii="標楷體" w:eastAsia="標楷體" w:hAnsi="標楷體"/>
          <w:sz w:val="28"/>
          <w:szCs w:val="28"/>
        </w:rPr>
      </w:pPr>
      <w:r w:rsidRPr="00193472">
        <w:rPr>
          <w:rFonts w:ascii="標楷體" w:eastAsia="標楷體" w:hAnsi="標楷體" w:hint="eastAsia"/>
          <w:sz w:val="28"/>
          <w:szCs w:val="28"/>
        </w:rPr>
        <w:t>(2)消費爭議申訴及調解案件之處理情形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193472">
        <w:rPr>
          <w:rFonts w:ascii="標楷體" w:eastAsia="標楷體" w:hAnsi="標楷體" w:hint="eastAsia"/>
          <w:color w:val="000000"/>
          <w:sz w:val="28"/>
          <w:szCs w:val="28"/>
        </w:rPr>
        <w:t>含第一次、第二次申訴處理情形及線上申訴預警系統之處理及填報狀況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19347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27308" w:rsidRPr="00193472" w:rsidRDefault="00B27308" w:rsidP="00B27308">
      <w:pPr>
        <w:spacing w:line="480" w:lineRule="exact"/>
        <w:ind w:leftChars="375" w:left="1258" w:hangingChars="128" w:hanging="35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93472">
        <w:rPr>
          <w:rFonts w:ascii="標楷體" w:eastAsia="標楷體" w:hAnsi="標楷體" w:hint="eastAsia"/>
          <w:sz w:val="28"/>
          <w:szCs w:val="28"/>
        </w:rPr>
        <w:t>(3)其他</w:t>
      </w:r>
      <w:r w:rsidRPr="00193472">
        <w:rPr>
          <w:rFonts w:ascii="標楷體" w:eastAsia="標楷體" w:hAnsi="標楷體" w:hint="eastAsia"/>
          <w:color w:val="000000"/>
          <w:sz w:val="28"/>
          <w:szCs w:val="28"/>
        </w:rPr>
        <w:t>消費者保護官辦理消費者保護業務之執行成效。</w:t>
      </w:r>
    </w:p>
    <w:p w:rsidR="00B27308" w:rsidRPr="00193472" w:rsidRDefault="00B27308" w:rsidP="00B27308">
      <w:pPr>
        <w:spacing w:line="480" w:lineRule="exact"/>
        <w:ind w:leftChars="150" w:left="839" w:hangingChars="171" w:hanging="479"/>
        <w:jc w:val="both"/>
        <w:rPr>
          <w:rFonts w:ascii="標楷體" w:eastAsia="標楷體" w:hAnsi="標楷體"/>
          <w:sz w:val="28"/>
          <w:szCs w:val="28"/>
        </w:rPr>
      </w:pPr>
      <w:r w:rsidRPr="00193472">
        <w:rPr>
          <w:rFonts w:ascii="標楷體" w:eastAsia="標楷體" w:hAnsi="標楷體" w:hint="eastAsia"/>
          <w:sz w:val="28"/>
          <w:szCs w:val="28"/>
        </w:rPr>
        <w:t>(</w:t>
      </w:r>
      <w:r w:rsidR="00296A0F">
        <w:rPr>
          <w:rFonts w:ascii="標楷體" w:eastAsia="標楷體" w:hAnsi="標楷體" w:hint="eastAsia"/>
          <w:sz w:val="28"/>
          <w:szCs w:val="28"/>
        </w:rPr>
        <w:t>四</w:t>
      </w:r>
      <w:r w:rsidRPr="00193472">
        <w:rPr>
          <w:rFonts w:ascii="標楷體" w:eastAsia="標楷體" w:hAnsi="標楷體" w:hint="eastAsia"/>
          <w:sz w:val="28"/>
          <w:szCs w:val="28"/>
        </w:rPr>
        <w:t>)自行選定落實消費者保護特殊事項之執行成效。</w:t>
      </w:r>
    </w:p>
    <w:p w:rsidR="00B27308" w:rsidRPr="00193472" w:rsidRDefault="00B27308" w:rsidP="00B27308">
      <w:pPr>
        <w:topLinePunct/>
        <w:spacing w:line="480" w:lineRule="exact"/>
        <w:ind w:leftChars="150" w:left="839" w:hangingChars="171" w:hanging="479"/>
        <w:jc w:val="both"/>
        <w:rPr>
          <w:rFonts w:ascii="標楷體" w:eastAsia="標楷體" w:hAnsi="標楷體"/>
          <w:sz w:val="28"/>
          <w:szCs w:val="28"/>
        </w:rPr>
      </w:pPr>
      <w:r w:rsidRPr="00193472">
        <w:rPr>
          <w:rFonts w:ascii="標楷體" w:eastAsia="標楷體" w:hAnsi="標楷體" w:hint="eastAsia"/>
          <w:sz w:val="28"/>
          <w:szCs w:val="28"/>
        </w:rPr>
        <w:t>(</w:t>
      </w:r>
      <w:r w:rsidR="00296A0F">
        <w:rPr>
          <w:rFonts w:ascii="標楷體" w:eastAsia="標楷體" w:hAnsi="標楷體" w:hint="eastAsia"/>
          <w:sz w:val="28"/>
          <w:szCs w:val="28"/>
        </w:rPr>
        <w:t>五</w:t>
      </w:r>
      <w:r w:rsidRPr="00193472">
        <w:rPr>
          <w:rFonts w:ascii="標楷體" w:eastAsia="標楷體" w:hAnsi="標楷體" w:hint="eastAsia"/>
          <w:sz w:val="28"/>
          <w:szCs w:val="28"/>
        </w:rPr>
        <w:t>)</w:t>
      </w:r>
      <w:r w:rsidR="00296A0F" w:rsidRPr="00296A0F">
        <w:rPr>
          <w:rFonts w:ascii="標楷體" w:eastAsia="標楷體" w:hAnsi="標楷體" w:hint="eastAsia"/>
          <w:sz w:val="28"/>
          <w:szCs w:val="28"/>
        </w:rPr>
        <w:t>考核年度發生重大消費事件之處理及應變措施。</w:t>
      </w:r>
    </w:p>
    <w:p w:rsidR="00296A0F" w:rsidRPr="00296A0F" w:rsidRDefault="00B27308" w:rsidP="00296A0F">
      <w:pPr>
        <w:tabs>
          <w:tab w:val="left" w:pos="900"/>
          <w:tab w:val="left" w:pos="1080"/>
        </w:tabs>
        <w:adjustRightInd w:val="0"/>
        <w:snapToGrid w:val="0"/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60D73">
        <w:rPr>
          <w:rFonts w:ascii="標楷體" w:eastAsia="標楷體" w:hAnsi="標楷體" w:hint="eastAsia"/>
          <w:sz w:val="28"/>
          <w:szCs w:val="28"/>
        </w:rPr>
        <w:t>六、</w:t>
      </w:r>
      <w:r w:rsidR="00296A0F" w:rsidRPr="00296A0F">
        <w:rPr>
          <w:rFonts w:ascii="標楷體" w:eastAsia="標楷體" w:hAnsi="標楷體" w:hint="eastAsia"/>
          <w:sz w:val="28"/>
          <w:szCs w:val="28"/>
        </w:rPr>
        <w:t>考核結果評分標準如下：</w:t>
      </w:r>
    </w:p>
    <w:p w:rsidR="00296A0F" w:rsidRPr="00296A0F" w:rsidRDefault="00296A0F" w:rsidP="00296A0F">
      <w:pPr>
        <w:spacing w:line="480" w:lineRule="exact"/>
        <w:ind w:leftChars="150" w:left="839" w:hangingChars="171" w:hanging="479"/>
        <w:jc w:val="both"/>
        <w:rPr>
          <w:rFonts w:ascii="標楷體" w:eastAsia="標楷體" w:hAnsi="標楷體"/>
          <w:sz w:val="28"/>
          <w:szCs w:val="28"/>
        </w:rPr>
      </w:pPr>
      <w:r w:rsidRPr="00296A0F">
        <w:rPr>
          <w:rFonts w:ascii="標楷體" w:eastAsia="標楷體" w:hAnsi="標楷體" w:hint="eastAsia"/>
          <w:sz w:val="28"/>
          <w:szCs w:val="28"/>
        </w:rPr>
        <w:t>(一)前點第一款至第四款考核項目及內容，各款評分總和最高為一百分。</w:t>
      </w:r>
    </w:p>
    <w:p w:rsidR="00296A0F" w:rsidRPr="00296A0F" w:rsidRDefault="00296A0F" w:rsidP="00296A0F">
      <w:pPr>
        <w:spacing w:line="480" w:lineRule="exact"/>
        <w:ind w:leftChars="150" w:left="839" w:hangingChars="171" w:hanging="479"/>
        <w:jc w:val="both"/>
        <w:rPr>
          <w:rFonts w:ascii="標楷體" w:eastAsia="標楷體" w:hAnsi="標楷體"/>
          <w:sz w:val="28"/>
          <w:szCs w:val="28"/>
        </w:rPr>
      </w:pPr>
      <w:r w:rsidRPr="00296A0F">
        <w:rPr>
          <w:rFonts w:ascii="標楷體" w:eastAsia="標楷體" w:hAnsi="標楷體" w:hint="eastAsia"/>
          <w:sz w:val="28"/>
          <w:szCs w:val="28"/>
        </w:rPr>
        <w:t>(二)前點第五款考核項目及內容，得於前款評分總和之外加減</w:t>
      </w:r>
      <w:r w:rsidR="0013700D">
        <w:rPr>
          <w:rFonts w:ascii="標楷體" w:eastAsia="標楷體" w:hAnsi="標楷體" w:hint="eastAsia"/>
          <w:sz w:val="28"/>
          <w:szCs w:val="28"/>
        </w:rPr>
        <w:t>七</w:t>
      </w:r>
      <w:r w:rsidRPr="00296A0F">
        <w:rPr>
          <w:rFonts w:ascii="標楷體" w:eastAsia="標楷體" w:hAnsi="標楷體" w:hint="eastAsia"/>
          <w:sz w:val="28"/>
          <w:szCs w:val="28"/>
        </w:rPr>
        <w:t>分。</w:t>
      </w:r>
    </w:p>
    <w:p w:rsidR="00296A0F" w:rsidRPr="00296A0F" w:rsidRDefault="00296A0F" w:rsidP="00296A0F">
      <w:pPr>
        <w:topLinePunct/>
        <w:adjustRightInd w:val="0"/>
        <w:snapToGrid w:val="0"/>
        <w:spacing w:line="480" w:lineRule="exact"/>
        <w:ind w:leftChars="189" w:left="454" w:rightChars="-5" w:right="-12" w:firstLineChars="179" w:firstLine="501"/>
        <w:jc w:val="both"/>
        <w:rPr>
          <w:rFonts w:ascii="標楷體" w:eastAsia="標楷體" w:hAnsi="標楷體"/>
          <w:sz w:val="28"/>
          <w:szCs w:val="28"/>
        </w:rPr>
      </w:pPr>
      <w:r w:rsidRPr="00296A0F">
        <w:rPr>
          <w:rFonts w:ascii="標楷體" w:eastAsia="標楷體" w:hAnsi="標楷體" w:hint="eastAsia"/>
          <w:sz w:val="28"/>
          <w:szCs w:val="28"/>
        </w:rPr>
        <w:t>考核結果評分達六十分以上者，分列等第為：</w:t>
      </w:r>
    </w:p>
    <w:p w:rsidR="00296A0F" w:rsidRPr="00296A0F" w:rsidRDefault="00296A0F" w:rsidP="00296A0F">
      <w:pPr>
        <w:adjustRightInd w:val="0"/>
        <w:snapToGrid w:val="0"/>
        <w:spacing w:line="480" w:lineRule="exact"/>
        <w:ind w:leftChars="189" w:left="102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96A0F">
        <w:rPr>
          <w:rFonts w:ascii="標楷體" w:eastAsia="標楷體" w:hAnsi="標楷體" w:hint="eastAsia"/>
          <w:sz w:val="28"/>
          <w:szCs w:val="28"/>
        </w:rPr>
        <w:t>(一)特優：九十分以上。</w:t>
      </w:r>
    </w:p>
    <w:p w:rsidR="00296A0F" w:rsidRPr="00296A0F" w:rsidRDefault="00296A0F" w:rsidP="00296A0F">
      <w:pPr>
        <w:adjustRightInd w:val="0"/>
        <w:snapToGrid w:val="0"/>
        <w:spacing w:line="480" w:lineRule="exact"/>
        <w:ind w:leftChars="189" w:left="102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96A0F">
        <w:rPr>
          <w:rFonts w:ascii="標楷體" w:eastAsia="標楷體" w:hAnsi="標楷體" w:hint="eastAsia"/>
          <w:sz w:val="28"/>
          <w:szCs w:val="28"/>
        </w:rPr>
        <w:t>(二)優等：八十分至八十九分。</w:t>
      </w:r>
    </w:p>
    <w:p w:rsidR="00296A0F" w:rsidRPr="00296A0F" w:rsidRDefault="00296A0F" w:rsidP="00296A0F">
      <w:pPr>
        <w:adjustRightInd w:val="0"/>
        <w:snapToGrid w:val="0"/>
        <w:spacing w:line="480" w:lineRule="exact"/>
        <w:ind w:leftChars="189" w:left="102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96A0F">
        <w:rPr>
          <w:rFonts w:ascii="標楷體" w:eastAsia="標楷體" w:hAnsi="標楷體" w:hint="eastAsia"/>
          <w:sz w:val="28"/>
          <w:szCs w:val="28"/>
        </w:rPr>
        <w:t>(三)良等：七十分至七十九分。</w:t>
      </w:r>
    </w:p>
    <w:p w:rsidR="00296A0F" w:rsidRPr="00296A0F" w:rsidRDefault="00296A0F" w:rsidP="00296A0F">
      <w:pPr>
        <w:adjustRightInd w:val="0"/>
        <w:snapToGrid w:val="0"/>
        <w:spacing w:line="480" w:lineRule="exact"/>
        <w:ind w:leftChars="189" w:left="102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296A0F">
        <w:rPr>
          <w:rFonts w:ascii="標楷體" w:eastAsia="標楷體" w:hAnsi="標楷體" w:hint="eastAsia"/>
          <w:sz w:val="28"/>
          <w:szCs w:val="28"/>
        </w:rPr>
        <w:t>(四)普等：六十分至六十九分。</w:t>
      </w:r>
    </w:p>
    <w:p w:rsidR="00B27308" w:rsidRDefault="00B27308" w:rsidP="0099729A">
      <w:pPr>
        <w:spacing w:line="480" w:lineRule="exact"/>
        <w:ind w:leftChars="248" w:left="595" w:firstLineChars="172" w:firstLine="482"/>
        <w:jc w:val="both"/>
        <w:rPr>
          <w:rFonts w:ascii="標楷體" w:eastAsia="標楷體" w:hAnsi="標楷體"/>
          <w:sz w:val="28"/>
          <w:szCs w:val="28"/>
        </w:rPr>
      </w:pPr>
      <w:r w:rsidRPr="00560D73">
        <w:rPr>
          <w:rFonts w:ascii="標楷體" w:eastAsia="標楷體" w:hAnsi="標楷體" w:hint="eastAsia"/>
          <w:sz w:val="28"/>
          <w:szCs w:val="28"/>
        </w:rPr>
        <w:t>考核結果</w:t>
      </w:r>
      <w:r w:rsidR="000853A1">
        <w:rPr>
          <w:rFonts w:ascii="標楷體" w:eastAsia="標楷體" w:hAnsi="標楷體" w:hint="eastAsia"/>
          <w:sz w:val="28"/>
          <w:szCs w:val="28"/>
        </w:rPr>
        <w:t>評</w:t>
      </w:r>
      <w:r w:rsidRPr="00560D73">
        <w:rPr>
          <w:rFonts w:ascii="標楷體" w:eastAsia="標楷體" w:hAnsi="標楷體" w:hint="eastAsia"/>
          <w:sz w:val="28"/>
          <w:szCs w:val="28"/>
        </w:rPr>
        <w:t>分為五十九分以下者，為未達列等標準，不予列等。</w:t>
      </w:r>
    </w:p>
    <w:p w:rsidR="00832556" w:rsidRPr="0099729A" w:rsidRDefault="0041783E" w:rsidP="0041783E">
      <w:pPr>
        <w:spacing w:line="480" w:lineRule="exact"/>
        <w:ind w:leftChars="1" w:left="596" w:hangingChars="212" w:hanging="5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 （刪除）</w:t>
      </w:r>
    </w:p>
    <w:sectPr w:rsidR="00832556" w:rsidRPr="0099729A" w:rsidSect="00D80311">
      <w:headerReference w:type="default" r:id="rId7"/>
      <w:footerReference w:type="default" r:id="rId8"/>
      <w:pgSz w:w="11906" w:h="16838" w:code="9"/>
      <w:pgMar w:top="1418" w:right="1134" w:bottom="1418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81" w:rsidRDefault="00C92081" w:rsidP="00980034">
      <w:r>
        <w:separator/>
      </w:r>
    </w:p>
  </w:endnote>
  <w:endnote w:type="continuationSeparator" w:id="0">
    <w:p w:rsidR="00C92081" w:rsidRDefault="00C92081" w:rsidP="0098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691"/>
      <w:docPartObj>
        <w:docPartGallery w:val="Page Numbers (Bottom of Page)"/>
        <w:docPartUnique/>
      </w:docPartObj>
    </w:sdtPr>
    <w:sdtEndPr/>
    <w:sdtContent>
      <w:p w:rsidR="00F537DE" w:rsidRDefault="00245AC4">
        <w:pPr>
          <w:pStyle w:val="a5"/>
          <w:jc w:val="right"/>
        </w:pPr>
        <w:r>
          <w:fldChar w:fldCharType="begin"/>
        </w:r>
        <w:r w:rsidR="003F06C8">
          <w:instrText xml:space="preserve"> PAGE   \* MERGEFORMAT </w:instrText>
        </w:r>
        <w:r>
          <w:fldChar w:fldCharType="separate"/>
        </w:r>
        <w:r w:rsidR="006E4552" w:rsidRPr="006E4552">
          <w:rPr>
            <w:noProof/>
            <w:lang w:val="zh-TW"/>
          </w:rPr>
          <w:t>1</w:t>
        </w:r>
        <w:r>
          <w:fldChar w:fldCharType="end"/>
        </w:r>
      </w:p>
    </w:sdtContent>
  </w:sdt>
  <w:p w:rsidR="00F537DE" w:rsidRDefault="00C920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81" w:rsidRDefault="00C92081" w:rsidP="00980034">
      <w:r>
        <w:separator/>
      </w:r>
    </w:p>
  </w:footnote>
  <w:footnote w:type="continuationSeparator" w:id="0">
    <w:p w:rsidR="00C92081" w:rsidRDefault="00C92081" w:rsidP="00980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48" w:rsidRDefault="00296A0F">
    <w:pPr>
      <w:pStyle w:val="a3"/>
    </w:pPr>
    <w:r>
      <w:rPr>
        <w:rFonts w:hint="eastAsia"/>
      </w:rPr>
      <w:t>104122</w:t>
    </w:r>
    <w:r w:rsidR="0099729A">
      <w:rPr>
        <w:rFonts w:hint="eastAsia"/>
      </w:rPr>
      <w:t>9</w:t>
    </w:r>
    <w:r>
      <w:rPr>
        <w:rFonts w:hint="eastAsia"/>
      </w:rPr>
      <w:t>考核要點</w:t>
    </w:r>
    <w:r w:rsidR="0099729A">
      <w:rPr>
        <w:rFonts w:hint="eastAsia"/>
      </w:rPr>
      <w:t>第五點第六點第十點修正規定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08"/>
    <w:rsid w:val="000415C7"/>
    <w:rsid w:val="000853A1"/>
    <w:rsid w:val="000C3EF5"/>
    <w:rsid w:val="0013700D"/>
    <w:rsid w:val="00141349"/>
    <w:rsid w:val="00146F88"/>
    <w:rsid w:val="00157018"/>
    <w:rsid w:val="001A398C"/>
    <w:rsid w:val="00245AC4"/>
    <w:rsid w:val="00296A0F"/>
    <w:rsid w:val="002D77AF"/>
    <w:rsid w:val="003331AD"/>
    <w:rsid w:val="00362F91"/>
    <w:rsid w:val="00376A89"/>
    <w:rsid w:val="003C57D7"/>
    <w:rsid w:val="003F06C8"/>
    <w:rsid w:val="0041783E"/>
    <w:rsid w:val="00420DAB"/>
    <w:rsid w:val="004266BC"/>
    <w:rsid w:val="00473AC6"/>
    <w:rsid w:val="0048039F"/>
    <w:rsid w:val="005B1113"/>
    <w:rsid w:val="005F20EB"/>
    <w:rsid w:val="006105A9"/>
    <w:rsid w:val="006509C9"/>
    <w:rsid w:val="006E4552"/>
    <w:rsid w:val="007A387B"/>
    <w:rsid w:val="00832556"/>
    <w:rsid w:val="00854CE1"/>
    <w:rsid w:val="008A6B72"/>
    <w:rsid w:val="008C72EA"/>
    <w:rsid w:val="00980034"/>
    <w:rsid w:val="0099729A"/>
    <w:rsid w:val="00A30255"/>
    <w:rsid w:val="00A958F1"/>
    <w:rsid w:val="00AE2AAD"/>
    <w:rsid w:val="00B20501"/>
    <w:rsid w:val="00B27308"/>
    <w:rsid w:val="00B477A4"/>
    <w:rsid w:val="00BB4AD6"/>
    <w:rsid w:val="00C27832"/>
    <w:rsid w:val="00C823F6"/>
    <w:rsid w:val="00C91A5B"/>
    <w:rsid w:val="00C92081"/>
    <w:rsid w:val="00CB0442"/>
    <w:rsid w:val="00D056BD"/>
    <w:rsid w:val="00D400EB"/>
    <w:rsid w:val="00EC24F3"/>
    <w:rsid w:val="00F9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273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27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30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B27308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27308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273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27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7308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B27308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2730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EY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消費者保護處督導協調科莊雅琇</dc:creator>
  <cp:lastModifiedBy>i2506</cp:lastModifiedBy>
  <cp:revision>2</cp:revision>
  <cp:lastPrinted>2015-12-29T08:38:00Z</cp:lastPrinted>
  <dcterms:created xsi:type="dcterms:W3CDTF">2016-01-13T07:38:00Z</dcterms:created>
  <dcterms:modified xsi:type="dcterms:W3CDTF">2016-01-13T07:38:00Z</dcterms:modified>
</cp:coreProperties>
</file>