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41" w:rsidRPr="00FA09A8" w:rsidRDefault="0024550F" w:rsidP="007443E9">
      <w:pPr>
        <w:spacing w:beforeLines="50" w:before="180" w:afterLines="50" w:after="180" w:line="400" w:lineRule="exact"/>
        <w:jc w:val="both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FA09A8">
        <w:rPr>
          <w:rFonts w:ascii="標楷體" w:eastAsia="標楷體" w:hAnsi="標楷體" w:hint="eastAsia"/>
          <w:b/>
          <w:sz w:val="40"/>
          <w:szCs w:val="40"/>
        </w:rPr>
        <w:t>行政院辦理中央及地方主管機關消費者保護業務監督考核作業要點</w:t>
      </w:r>
      <w:r w:rsidR="00900E78" w:rsidRPr="00FA09A8">
        <w:rPr>
          <w:rFonts w:ascii="標楷體" w:eastAsia="標楷體" w:hAnsi="標楷體" w:hint="eastAsia"/>
          <w:b/>
          <w:sz w:val="40"/>
          <w:szCs w:val="40"/>
        </w:rPr>
        <w:t>第五點、第六點、第十點</w:t>
      </w:r>
      <w:r w:rsidR="00F9131E">
        <w:rPr>
          <w:rFonts w:ascii="標楷體" w:eastAsia="標楷體" w:hAnsi="標楷體" w:hint="eastAsia"/>
          <w:b/>
          <w:sz w:val="40"/>
          <w:szCs w:val="40"/>
        </w:rPr>
        <w:t>修正</w:t>
      </w:r>
      <w:r w:rsidR="00336841" w:rsidRPr="00FA09A8">
        <w:rPr>
          <w:rFonts w:ascii="標楷體" w:eastAsia="標楷體" w:hAnsi="標楷體" w:hint="eastAsia"/>
          <w:b/>
          <w:sz w:val="40"/>
          <w:szCs w:val="40"/>
        </w:rPr>
        <w:t>對照表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336841" w:rsidRPr="00FA09A8" w:rsidTr="000D376A">
        <w:tc>
          <w:tcPr>
            <w:tcW w:w="2929" w:type="dxa"/>
          </w:tcPr>
          <w:p w:rsidR="00336841" w:rsidRPr="00FA09A8" w:rsidRDefault="003D64C2" w:rsidP="000D37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修正</w:t>
            </w:r>
            <w:r w:rsidR="00336841" w:rsidRPr="00FA09A8">
              <w:rPr>
                <w:rFonts w:ascii="標楷體" w:eastAsia="標楷體" w:hAnsi="標楷體" w:hint="eastAsia"/>
                <w:szCs w:val="24"/>
              </w:rPr>
              <w:t>規定</w:t>
            </w:r>
          </w:p>
        </w:tc>
        <w:tc>
          <w:tcPr>
            <w:tcW w:w="2930" w:type="dxa"/>
          </w:tcPr>
          <w:p w:rsidR="00336841" w:rsidRPr="00FA09A8" w:rsidRDefault="003D64C2" w:rsidP="000D37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現行</w:t>
            </w:r>
            <w:r w:rsidR="00336841" w:rsidRPr="00FA09A8">
              <w:rPr>
                <w:rFonts w:ascii="標楷體" w:eastAsia="標楷體" w:hAnsi="標楷體" w:hint="eastAsia"/>
                <w:szCs w:val="24"/>
              </w:rPr>
              <w:t>規定</w:t>
            </w:r>
          </w:p>
        </w:tc>
        <w:tc>
          <w:tcPr>
            <w:tcW w:w="2930" w:type="dxa"/>
          </w:tcPr>
          <w:p w:rsidR="00336841" w:rsidRPr="00FA09A8" w:rsidRDefault="00336841" w:rsidP="000D37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C73D22" w:rsidRPr="00FA09A8" w:rsidTr="000D376A">
        <w:tc>
          <w:tcPr>
            <w:tcW w:w="2929" w:type="dxa"/>
          </w:tcPr>
          <w:p w:rsidR="00C73D22" w:rsidRPr="00FA09A8" w:rsidRDefault="00C73D22" w:rsidP="003418F4">
            <w:pPr>
              <w:adjustRightInd w:val="0"/>
              <w:snapToGrid w:val="0"/>
              <w:ind w:leftChars="12" w:left="514" w:hangingChars="202" w:hanging="485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FA09A8">
              <w:rPr>
                <w:rFonts w:ascii="標楷體" w:eastAsia="標楷體" w:hAnsi="標楷體" w:hint="eastAsia"/>
                <w:bCs/>
                <w:szCs w:val="24"/>
              </w:rPr>
              <w:t>五、考核項目及內容如下：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189" w:left="939" w:hangingChars="202" w:hanging="485"/>
              <w:jc w:val="both"/>
              <w:rPr>
                <w:rFonts w:ascii="標楷體" w:eastAsia="標楷體" w:hAnsi="標楷體"/>
                <w:dstrike/>
                <w:szCs w:val="24"/>
                <w:u w:val="single"/>
              </w:rPr>
            </w:pP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(一)</w:t>
            </w:r>
            <w:r w:rsidR="00FB58BD" w:rsidRPr="00FA09A8">
              <w:rPr>
                <w:rFonts w:ascii="標楷體" w:eastAsia="標楷體" w:hAnsi="標楷體" w:hint="eastAsia"/>
                <w:szCs w:val="24"/>
              </w:rPr>
              <w:t>前次考核建議事項之處理成效。</w:t>
            </w:r>
          </w:p>
          <w:p w:rsidR="00FB58BD" w:rsidRPr="00FA09A8" w:rsidRDefault="00C73D22" w:rsidP="000D376A">
            <w:pPr>
              <w:adjustRightInd w:val="0"/>
              <w:snapToGrid w:val="0"/>
              <w:ind w:leftChars="189" w:left="939" w:hangingChars="202" w:hanging="485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(二)</w:t>
            </w:r>
            <w:r w:rsidR="00FB58BD" w:rsidRPr="00FA09A8">
              <w:rPr>
                <w:rFonts w:ascii="標楷體" w:eastAsia="標楷體" w:hAnsi="標楷體" w:hint="eastAsia"/>
                <w:szCs w:val="24"/>
              </w:rPr>
              <w:t>消費者保護方案</w:t>
            </w:r>
            <w:r w:rsidR="00FE452B" w:rsidRPr="00FA09A8">
              <w:rPr>
                <w:rFonts w:ascii="標楷體" w:eastAsia="標楷體" w:hAnsi="標楷體" w:hint="eastAsia"/>
                <w:szCs w:val="24"/>
                <w:u w:val="single"/>
              </w:rPr>
              <w:t>（含重大消費事項）</w:t>
            </w:r>
            <w:r w:rsidR="00FB58BD" w:rsidRPr="00FA09A8">
              <w:rPr>
                <w:rFonts w:ascii="標楷體" w:eastAsia="標楷體" w:hAnsi="標楷體" w:hint="eastAsia"/>
                <w:szCs w:val="24"/>
              </w:rPr>
              <w:t>之執行成效。</w:t>
            </w:r>
          </w:p>
          <w:p w:rsidR="00C73D22" w:rsidRPr="00FA09A8" w:rsidRDefault="00FB58BD" w:rsidP="000D376A">
            <w:pPr>
              <w:adjustRightInd w:val="0"/>
              <w:snapToGrid w:val="0"/>
              <w:ind w:leftChars="139" w:left="920" w:hangingChars="244" w:hanging="586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（三）</w:t>
            </w:r>
            <w:r w:rsidRPr="00FA09A8">
              <w:rPr>
                <w:rFonts w:ascii="標楷體" w:eastAsia="標楷體" w:hAnsi="標楷體" w:hint="eastAsia"/>
                <w:szCs w:val="24"/>
              </w:rPr>
              <w:t>指標性業務之執行成效：</w:t>
            </w:r>
          </w:p>
          <w:p w:rsidR="00FB58BD" w:rsidRPr="00FA09A8" w:rsidRDefault="00FB58BD" w:rsidP="000D376A">
            <w:pPr>
              <w:adjustRightInd w:val="0"/>
              <w:snapToGrid w:val="0"/>
              <w:ind w:leftChars="251" w:left="1012" w:hangingChars="171" w:hanging="410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1、中央主管機關：本</w:t>
            </w:r>
            <w:r w:rsidRPr="00FA09A8">
              <w:rPr>
                <w:rFonts w:ascii="標楷體" w:eastAsia="標楷體" w:hAnsi="標楷體" w:hint="eastAsia"/>
                <w:bCs/>
                <w:szCs w:val="24"/>
              </w:rPr>
              <w:t>院指示或決定</w:t>
            </w:r>
            <w:r w:rsidRPr="00FA09A8">
              <w:rPr>
                <w:rFonts w:ascii="標楷體" w:eastAsia="標楷體" w:hAnsi="標楷體" w:hint="eastAsia"/>
                <w:szCs w:val="24"/>
              </w:rPr>
              <w:t>事項。</w:t>
            </w:r>
          </w:p>
          <w:p w:rsidR="00FB58BD" w:rsidRPr="00FA09A8" w:rsidRDefault="00FB58BD" w:rsidP="000D376A">
            <w:pPr>
              <w:adjustRightInd w:val="0"/>
              <w:snapToGrid w:val="0"/>
              <w:ind w:firstLineChars="257" w:firstLine="617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2、地方主管機關：</w:t>
            </w:r>
          </w:p>
          <w:p w:rsidR="00FB58BD" w:rsidRPr="00FA09A8" w:rsidRDefault="00FB58BD" w:rsidP="000D376A">
            <w:pPr>
              <w:adjustRightInd w:val="0"/>
              <w:snapToGrid w:val="0"/>
              <w:ind w:leftChars="374" w:left="1246" w:hangingChars="145" w:hanging="348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(1)消費者保護行政機制之建置及處理情形(例如預算狀況、人力配置及消費者服務中心執行情形等)。</w:t>
            </w:r>
          </w:p>
          <w:p w:rsidR="00FB58BD" w:rsidRPr="00FA09A8" w:rsidRDefault="00FB58BD" w:rsidP="000D376A">
            <w:pPr>
              <w:adjustRightInd w:val="0"/>
              <w:snapToGrid w:val="0"/>
              <w:ind w:leftChars="374" w:left="1246" w:hangingChars="145" w:hanging="348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(2)消費爭議申訴及調解案件之處理情形(含第一次、第二次申訴處理情形及線上申訴預警系統之處理及填報狀況)。</w:t>
            </w:r>
          </w:p>
          <w:p w:rsidR="00FB58BD" w:rsidRPr="00FA09A8" w:rsidRDefault="00FB58BD" w:rsidP="000D376A">
            <w:pPr>
              <w:adjustRightInd w:val="0"/>
              <w:snapToGrid w:val="0"/>
              <w:ind w:leftChars="374" w:left="1246" w:hangingChars="145" w:hanging="348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(3)其他消費者保護官辦理消費者保護業務之執行成效。</w:t>
            </w:r>
          </w:p>
          <w:p w:rsidR="00FB58BD" w:rsidRPr="00FA09A8" w:rsidRDefault="008A7C4D" w:rsidP="000D376A">
            <w:pPr>
              <w:adjustRightInd w:val="0"/>
              <w:snapToGrid w:val="0"/>
              <w:ind w:leftChars="189" w:left="939" w:hangingChars="202" w:hanging="485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(四)</w:t>
            </w:r>
            <w:r w:rsidRPr="00FA09A8">
              <w:rPr>
                <w:rFonts w:ascii="標楷體" w:eastAsia="標楷體" w:hAnsi="標楷體" w:hint="eastAsia"/>
                <w:szCs w:val="24"/>
              </w:rPr>
              <w:t>自行選定落實消費者保護特殊事項之執行成效。</w:t>
            </w:r>
          </w:p>
          <w:p w:rsidR="00C73D22" w:rsidRPr="00FA09A8" w:rsidRDefault="008A7C4D" w:rsidP="005E1630">
            <w:pPr>
              <w:adjustRightInd w:val="0"/>
              <w:snapToGrid w:val="0"/>
              <w:ind w:leftChars="158" w:left="929" w:hangingChars="229" w:hanging="55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（五）考核年度發生重</w:t>
            </w: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lastRenderedPageBreak/>
              <w:t>大消費事件之處理</w:t>
            </w:r>
            <w:r w:rsidR="005E1630">
              <w:rPr>
                <w:rFonts w:ascii="標楷體" w:eastAsia="標楷體" w:hAnsi="標楷體" w:hint="eastAsia"/>
                <w:szCs w:val="24"/>
                <w:u w:val="single"/>
              </w:rPr>
              <w:t>及</w:t>
            </w: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應變措施</w:t>
            </w:r>
            <w:r w:rsidR="00961DE7" w:rsidRPr="00FA09A8">
              <w:rPr>
                <w:rFonts w:ascii="標楷體" w:eastAsia="標楷體" w:hAnsi="標楷體" w:hint="eastAsia"/>
                <w:szCs w:val="24"/>
                <w:u w:val="single"/>
              </w:rPr>
              <w:t>。</w:t>
            </w:r>
          </w:p>
        </w:tc>
        <w:tc>
          <w:tcPr>
            <w:tcW w:w="2930" w:type="dxa"/>
          </w:tcPr>
          <w:p w:rsidR="00C73D22" w:rsidRPr="00FA09A8" w:rsidRDefault="00C73D22" w:rsidP="003418F4">
            <w:pPr>
              <w:adjustRightInd w:val="0"/>
              <w:snapToGrid w:val="0"/>
              <w:ind w:leftChars="12" w:left="514" w:hangingChars="202" w:hanging="485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FA09A8">
              <w:rPr>
                <w:rFonts w:ascii="標楷體" w:eastAsia="標楷體" w:hAnsi="標楷體" w:hint="eastAsia"/>
                <w:bCs/>
                <w:szCs w:val="24"/>
              </w:rPr>
              <w:lastRenderedPageBreak/>
              <w:t>五、考核項目及內容如下：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189" w:left="939" w:hangingChars="202" w:hanging="485"/>
              <w:jc w:val="both"/>
              <w:rPr>
                <w:rFonts w:ascii="標楷體" w:eastAsia="標楷體" w:hAnsi="標楷體"/>
                <w:dstrike/>
                <w:szCs w:val="24"/>
                <w:u w:val="single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(一)消費者保護方案之執行成效。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189" w:left="939" w:hangingChars="202" w:hanging="485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(二)指標性業務之執行成效：</w:t>
            </w:r>
          </w:p>
          <w:p w:rsidR="00C73D22" w:rsidRPr="00FA09A8" w:rsidRDefault="00C73D22" w:rsidP="000D376A">
            <w:pPr>
              <w:adjustRightInd w:val="0"/>
              <w:snapToGrid w:val="0"/>
              <w:ind w:firstLineChars="257" w:firstLine="617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1、中央主管機關：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374" w:left="1246" w:hangingChars="145" w:hanging="348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(1)</w:t>
            </w:r>
            <w:r w:rsidRPr="00FA09A8">
              <w:rPr>
                <w:rFonts w:ascii="標楷體" w:eastAsia="標楷體" w:hAnsi="標楷體" w:hint="eastAsia"/>
                <w:szCs w:val="24"/>
              </w:rPr>
              <w:t>本</w:t>
            </w:r>
            <w:r w:rsidRPr="00FA09A8">
              <w:rPr>
                <w:rFonts w:ascii="標楷體" w:eastAsia="標楷體" w:hAnsi="標楷體" w:hint="eastAsia"/>
                <w:bCs/>
                <w:szCs w:val="24"/>
              </w:rPr>
              <w:t>院指示或決定</w:t>
            </w:r>
            <w:r w:rsidRPr="00FA09A8">
              <w:rPr>
                <w:rFonts w:ascii="標楷體" w:eastAsia="標楷體" w:hAnsi="標楷體" w:hint="eastAsia"/>
                <w:szCs w:val="24"/>
              </w:rPr>
              <w:t>事項。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374" w:left="1246" w:hangingChars="145" w:hanging="348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(2)重大消費事項</w:t>
            </w:r>
            <w:r w:rsidRPr="00835968">
              <w:rPr>
                <w:rFonts w:ascii="標楷體" w:eastAsia="標楷體" w:hAnsi="標楷體" w:hint="eastAsia"/>
                <w:szCs w:val="24"/>
                <w:u w:val="single"/>
              </w:rPr>
              <w:t>。</w:t>
            </w:r>
          </w:p>
          <w:p w:rsidR="00C73D22" w:rsidRPr="00FA09A8" w:rsidRDefault="00C73D22" w:rsidP="000D376A">
            <w:pPr>
              <w:adjustRightInd w:val="0"/>
              <w:snapToGrid w:val="0"/>
              <w:ind w:firstLineChars="257" w:firstLine="617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2、地方主管機關：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374" w:left="1246" w:hangingChars="145" w:hanging="348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(1)消費者保護行政機制之建置及處理情形(例如預算狀況、人力配置及消費者服務中心執行情形等)。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374" w:left="1246" w:hangingChars="145" w:hanging="348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(2)消費爭議申訴及調解案件之處理情形(含第一次、第二次申訴處理情形及線上申訴預警系統之處理及填報狀況)。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374" w:left="1246" w:hangingChars="145" w:hanging="348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(3)其他消費者保護官辦理消費者保護業務之執行成效。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189" w:left="939" w:hangingChars="202" w:hanging="485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(三)自行選定落實消費者保護特殊事項之執行成效。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189" w:left="939" w:hangingChars="202" w:hanging="485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(四)</w:t>
            </w:r>
            <w:r w:rsidR="00FB58BD" w:rsidRPr="00FA09A8">
              <w:rPr>
                <w:rFonts w:ascii="標楷體" w:eastAsia="標楷體" w:hAnsi="標楷體" w:hint="eastAsia"/>
                <w:szCs w:val="24"/>
              </w:rPr>
              <w:t>前次考核建議事項之處理成效。</w:t>
            </w:r>
          </w:p>
        </w:tc>
        <w:tc>
          <w:tcPr>
            <w:tcW w:w="2930" w:type="dxa"/>
          </w:tcPr>
          <w:p w:rsidR="00315C3B" w:rsidRPr="00FA09A8" w:rsidRDefault="00C73D22" w:rsidP="000D376A">
            <w:pPr>
              <w:adjustRightInd w:val="0"/>
              <w:snapToGrid w:val="0"/>
              <w:ind w:leftChars="-34" w:left="403" w:hangingChars="202" w:hanging="485"/>
              <w:rPr>
                <w:rFonts w:ascii="標楷體" w:eastAsia="標楷體" w:hAnsi="標楷體"/>
                <w:bCs/>
                <w:szCs w:val="24"/>
              </w:rPr>
            </w:pPr>
            <w:r w:rsidRPr="00FA09A8">
              <w:rPr>
                <w:rFonts w:ascii="標楷體" w:eastAsia="標楷體" w:hAnsi="標楷體" w:hint="eastAsia"/>
                <w:bCs/>
                <w:szCs w:val="24"/>
              </w:rPr>
              <w:t>一、</w:t>
            </w:r>
            <w:r w:rsidR="00814384" w:rsidRPr="00FA09A8">
              <w:rPr>
                <w:rFonts w:ascii="標楷體" w:eastAsia="標楷體" w:hAnsi="標楷體" w:hint="eastAsia"/>
                <w:bCs/>
                <w:szCs w:val="24"/>
              </w:rPr>
              <w:t>依據</w:t>
            </w:r>
            <w:r w:rsidR="00961DE7" w:rsidRPr="00FA09A8">
              <w:rPr>
                <w:rFonts w:ascii="標楷體" w:eastAsia="標楷體" w:hAnsi="標楷體" w:hint="eastAsia"/>
                <w:bCs/>
                <w:szCs w:val="24"/>
              </w:rPr>
              <w:t>本院消費者保護會第</w:t>
            </w:r>
            <w:r w:rsidR="00FE452B">
              <w:rPr>
                <w:rFonts w:ascii="標楷體" w:eastAsia="標楷體" w:hAnsi="標楷體" w:hint="eastAsia"/>
                <w:bCs/>
                <w:szCs w:val="24"/>
              </w:rPr>
              <w:t>四十三</w:t>
            </w:r>
            <w:r w:rsidR="00961DE7" w:rsidRPr="00FA09A8">
              <w:rPr>
                <w:rFonts w:ascii="標楷體" w:eastAsia="標楷體" w:hAnsi="標楷體" w:hint="eastAsia"/>
                <w:bCs/>
                <w:szCs w:val="24"/>
              </w:rPr>
              <w:t>次會議</w:t>
            </w:r>
            <w:r w:rsidR="00814384" w:rsidRPr="00FA09A8">
              <w:rPr>
                <w:rFonts w:ascii="標楷體" w:eastAsia="標楷體" w:hAnsi="標楷體" w:hint="eastAsia"/>
                <w:bCs/>
                <w:szCs w:val="24"/>
              </w:rPr>
              <w:t>決議考核項目</w:t>
            </w:r>
            <w:r w:rsidR="00315C3B" w:rsidRPr="00FA09A8">
              <w:rPr>
                <w:rFonts w:ascii="標楷體" w:eastAsia="標楷體" w:hAnsi="標楷體" w:hint="eastAsia"/>
                <w:bCs/>
                <w:szCs w:val="24"/>
              </w:rPr>
              <w:t>修正如下：</w:t>
            </w:r>
          </w:p>
          <w:p w:rsidR="00315C3B" w:rsidRPr="00FA09A8" w:rsidRDefault="00315C3B" w:rsidP="000D376A">
            <w:pPr>
              <w:adjustRightInd w:val="0"/>
              <w:snapToGrid w:val="0"/>
              <w:ind w:leftChars="-34" w:left="554" w:hangingChars="265" w:hanging="636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FA09A8">
              <w:rPr>
                <w:rFonts w:ascii="標楷體" w:eastAsia="標楷體" w:hAnsi="標楷體" w:hint="eastAsia"/>
                <w:bCs/>
                <w:szCs w:val="24"/>
              </w:rPr>
              <w:t>（一）</w:t>
            </w:r>
            <w:r w:rsidR="00FE452B">
              <w:rPr>
                <w:rFonts w:ascii="標楷體" w:eastAsia="標楷體" w:hAnsi="標楷體" w:hint="eastAsia"/>
                <w:bCs/>
                <w:szCs w:val="24"/>
              </w:rPr>
              <w:t>現行第一款移列為第二款，並</w:t>
            </w:r>
            <w:r w:rsidRPr="00FA09A8">
              <w:rPr>
                <w:rFonts w:ascii="標楷體" w:eastAsia="標楷體" w:hAnsi="標楷體" w:hint="eastAsia"/>
                <w:bCs/>
                <w:szCs w:val="24"/>
              </w:rPr>
              <w:t>將「重大消費事項」併入「消費者保護方案之執行成效」：因消費者保護方案已包含「落實重大消費爭議案件之即時處理機制」、「研修(訂)重大消費事故損害賠償機制」、「協調及補助優良消費者保護團體對重大消費事故提起團體訴訟」等，故將原「重大消費事項」併入「消費者保護方案之執行成效」。</w:t>
            </w:r>
          </w:p>
          <w:p w:rsidR="00315C3B" w:rsidRPr="00FA09A8" w:rsidRDefault="00315C3B" w:rsidP="000D376A">
            <w:pPr>
              <w:adjustRightInd w:val="0"/>
              <w:snapToGrid w:val="0"/>
              <w:ind w:leftChars="-34" w:left="554" w:hangingChars="265" w:hanging="636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FA09A8">
              <w:rPr>
                <w:rFonts w:ascii="標楷體" w:eastAsia="標楷體" w:hAnsi="標楷體" w:hint="eastAsia"/>
                <w:bCs/>
                <w:szCs w:val="24"/>
              </w:rPr>
              <w:t>（二）新增</w:t>
            </w:r>
            <w:r w:rsidR="00FE452B">
              <w:rPr>
                <w:rFonts w:ascii="標楷體" w:eastAsia="標楷體" w:hAnsi="標楷體" w:hint="eastAsia"/>
                <w:bCs/>
                <w:szCs w:val="24"/>
              </w:rPr>
              <w:t>第五款</w:t>
            </w:r>
            <w:r w:rsidRPr="00FA09A8">
              <w:rPr>
                <w:rFonts w:ascii="標楷體" w:eastAsia="標楷體" w:hAnsi="標楷體" w:hint="eastAsia"/>
                <w:bCs/>
                <w:szCs w:val="24"/>
              </w:rPr>
              <w:t>「考核年度發生重大消費事件之處理</w:t>
            </w:r>
            <w:r w:rsidR="00B050EF">
              <w:rPr>
                <w:rFonts w:ascii="標楷體" w:eastAsia="標楷體" w:hAnsi="標楷體" w:hint="eastAsia"/>
                <w:bCs/>
                <w:szCs w:val="24"/>
              </w:rPr>
              <w:t>及</w:t>
            </w:r>
            <w:r w:rsidRPr="00FA09A8">
              <w:rPr>
                <w:rFonts w:ascii="標楷體" w:eastAsia="標楷體" w:hAnsi="標楷體" w:hint="eastAsia"/>
                <w:bCs/>
                <w:szCs w:val="24"/>
              </w:rPr>
              <w:t>應變措施」項目：因考核年度發生之重大消費事件，雖非受考範圍，惟既係重大事件，自影響消費者權益甚重</w:t>
            </w:r>
            <w:r w:rsidR="00B050EF">
              <w:rPr>
                <w:rFonts w:ascii="標楷體" w:eastAsia="標楷體" w:hAnsi="標楷體" w:hint="eastAsia"/>
                <w:bCs/>
                <w:szCs w:val="24"/>
              </w:rPr>
              <w:t>，</w:t>
            </w:r>
            <w:r w:rsidRPr="00FA09A8">
              <w:rPr>
                <w:rFonts w:ascii="標楷體" w:eastAsia="標楷體" w:hAnsi="標楷體" w:hint="eastAsia"/>
                <w:bCs/>
                <w:szCs w:val="24"/>
              </w:rPr>
              <w:t>本</w:t>
            </w:r>
            <w:r w:rsidR="00FE452B">
              <w:rPr>
                <w:rFonts w:ascii="標楷體" w:eastAsia="標楷體" w:hAnsi="標楷體" w:hint="eastAsia"/>
                <w:bCs/>
                <w:szCs w:val="24"/>
              </w:rPr>
              <w:t>院</w:t>
            </w:r>
            <w:r w:rsidRPr="00FA09A8">
              <w:rPr>
                <w:rFonts w:ascii="標楷體" w:eastAsia="標楷體" w:hAnsi="標楷體" w:hint="eastAsia"/>
                <w:bCs/>
                <w:szCs w:val="24"/>
              </w:rPr>
              <w:t>自當進行了解</w:t>
            </w:r>
            <w:r w:rsidR="00B050EF">
              <w:rPr>
                <w:rFonts w:ascii="標楷體" w:eastAsia="標楷體" w:hAnsi="標楷體" w:hint="eastAsia"/>
                <w:bCs/>
                <w:szCs w:val="24"/>
              </w:rPr>
              <w:t>，</w:t>
            </w:r>
            <w:r w:rsidRPr="00FA09A8">
              <w:rPr>
                <w:rFonts w:ascii="標楷體" w:eastAsia="標楷體" w:hAnsi="標楷體" w:hint="eastAsia"/>
                <w:bCs/>
                <w:szCs w:val="24"/>
              </w:rPr>
              <w:t>考核委員亦定能提供建議意見供主管機關參考，爰將</w:t>
            </w:r>
            <w:r w:rsidR="002C139F" w:rsidRPr="00FA09A8">
              <w:rPr>
                <w:rFonts w:ascii="標楷體" w:eastAsia="標楷體" w:hAnsi="標楷體" w:hint="eastAsia"/>
                <w:bCs/>
                <w:szCs w:val="24"/>
              </w:rPr>
              <w:t>現行第十點</w:t>
            </w:r>
            <w:r w:rsidR="005D4F42" w:rsidRPr="00FA09A8">
              <w:rPr>
                <w:rFonts w:ascii="標楷體" w:eastAsia="標楷體" w:hAnsi="標楷體" w:hint="eastAsia"/>
                <w:bCs/>
                <w:szCs w:val="24"/>
              </w:rPr>
              <w:t>移</w:t>
            </w:r>
            <w:r w:rsidR="002C139F" w:rsidRPr="00FA09A8">
              <w:rPr>
                <w:rFonts w:ascii="標楷體" w:eastAsia="標楷體" w:hAnsi="標楷體" w:hint="eastAsia"/>
                <w:bCs/>
                <w:szCs w:val="24"/>
              </w:rPr>
              <w:t>列至本點第五款</w:t>
            </w:r>
            <w:r w:rsidR="00FE452B">
              <w:rPr>
                <w:rFonts w:ascii="標楷體" w:eastAsia="標楷體" w:hAnsi="標楷體" w:hint="eastAsia"/>
                <w:bCs/>
                <w:szCs w:val="24"/>
              </w:rPr>
              <w:t>規範</w:t>
            </w:r>
            <w:r w:rsidR="002C139F" w:rsidRPr="00FA09A8">
              <w:rPr>
                <w:rFonts w:ascii="標楷體" w:eastAsia="標楷體" w:hAnsi="標楷體" w:hint="eastAsia"/>
                <w:bCs/>
                <w:szCs w:val="24"/>
              </w:rPr>
              <w:t>，並為文字修正。</w:t>
            </w:r>
          </w:p>
          <w:p w:rsidR="00C73D22" w:rsidRPr="00FA09A8" w:rsidRDefault="00315C3B" w:rsidP="000D376A">
            <w:pPr>
              <w:adjustRightInd w:val="0"/>
              <w:snapToGrid w:val="0"/>
              <w:ind w:leftChars="-34" w:left="403" w:hangingChars="202" w:hanging="485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FA09A8">
              <w:rPr>
                <w:rFonts w:ascii="標楷體" w:eastAsia="標楷體" w:hAnsi="標楷體" w:hint="eastAsia"/>
                <w:bCs/>
                <w:szCs w:val="24"/>
              </w:rPr>
              <w:t>二、</w:t>
            </w:r>
            <w:r w:rsidR="00FB375E" w:rsidRPr="00FA09A8">
              <w:rPr>
                <w:rFonts w:ascii="標楷體" w:eastAsia="標楷體" w:hAnsi="標楷體" w:hint="eastAsia"/>
                <w:bCs/>
                <w:szCs w:val="24"/>
              </w:rPr>
              <w:t>調整考核項目順序</w:t>
            </w:r>
            <w:r w:rsidR="00FE452B">
              <w:rPr>
                <w:rFonts w:ascii="標楷體" w:eastAsia="標楷體" w:hAnsi="標楷體" w:hint="eastAsia"/>
                <w:bCs/>
                <w:szCs w:val="24"/>
              </w:rPr>
              <w:t>，將現行第四款移列為第一款，第二款及第三款款次遞移為第三款及</w:t>
            </w:r>
            <w:r w:rsidR="00FE452B">
              <w:rPr>
                <w:rFonts w:ascii="標楷體" w:eastAsia="標楷體" w:hAnsi="標楷體" w:hint="eastAsia"/>
                <w:bCs/>
                <w:szCs w:val="24"/>
              </w:rPr>
              <w:lastRenderedPageBreak/>
              <w:t>第四款</w:t>
            </w:r>
            <w:r w:rsidR="00FB375E" w:rsidRPr="00FA09A8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:rsidR="00FB58BD" w:rsidRPr="00FA09A8" w:rsidRDefault="00FB58BD" w:rsidP="000D376A">
            <w:pPr>
              <w:adjustRightInd w:val="0"/>
              <w:snapToGrid w:val="0"/>
              <w:ind w:leftChars="12" w:left="418" w:hangingChars="162" w:hanging="389"/>
              <w:rPr>
                <w:rFonts w:ascii="標楷體" w:eastAsia="標楷體" w:hAnsi="標楷體"/>
                <w:szCs w:val="24"/>
              </w:rPr>
            </w:pPr>
          </w:p>
        </w:tc>
      </w:tr>
      <w:tr w:rsidR="00C73D22" w:rsidRPr="00FA09A8" w:rsidTr="000D376A">
        <w:tc>
          <w:tcPr>
            <w:tcW w:w="2929" w:type="dxa"/>
          </w:tcPr>
          <w:p w:rsidR="002C139F" w:rsidRPr="00FA09A8" w:rsidRDefault="00C73D22" w:rsidP="000D376A">
            <w:pPr>
              <w:tabs>
                <w:tab w:val="left" w:pos="900"/>
                <w:tab w:val="left" w:pos="1080"/>
              </w:tabs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lastRenderedPageBreak/>
              <w:t>六、</w:t>
            </w:r>
            <w:r w:rsidR="002C139F" w:rsidRPr="00FA09A8">
              <w:rPr>
                <w:rFonts w:ascii="標楷體" w:eastAsia="標楷體" w:hAnsi="標楷體" w:hint="eastAsia"/>
                <w:szCs w:val="24"/>
                <w:u w:val="single"/>
              </w:rPr>
              <w:t>考核結果評分</w:t>
            </w:r>
            <w:r w:rsidR="005E1630">
              <w:rPr>
                <w:rFonts w:ascii="標楷體" w:eastAsia="標楷體" w:hAnsi="標楷體" w:hint="eastAsia"/>
                <w:szCs w:val="24"/>
                <w:u w:val="single"/>
              </w:rPr>
              <w:t>標準</w:t>
            </w:r>
            <w:r w:rsidR="002C139F" w:rsidRPr="00FA09A8">
              <w:rPr>
                <w:rFonts w:ascii="標楷體" w:eastAsia="標楷體" w:hAnsi="標楷體" w:hint="eastAsia"/>
                <w:szCs w:val="24"/>
                <w:u w:val="single"/>
              </w:rPr>
              <w:t>如下：</w:t>
            </w:r>
          </w:p>
          <w:p w:rsidR="002C139F" w:rsidRPr="00FA09A8" w:rsidRDefault="002C139F" w:rsidP="000D376A">
            <w:pPr>
              <w:tabs>
                <w:tab w:val="left" w:pos="900"/>
                <w:tab w:val="left" w:pos="1080"/>
              </w:tabs>
              <w:adjustRightInd w:val="0"/>
              <w:snapToGrid w:val="0"/>
              <w:ind w:leftChars="177" w:left="907" w:hangingChars="201" w:hanging="482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(一)前點第一款至第四款</w:t>
            </w:r>
            <w:r w:rsidR="005E1630">
              <w:rPr>
                <w:rFonts w:ascii="標楷體" w:eastAsia="標楷體" w:hAnsi="標楷體" w:hint="eastAsia"/>
                <w:szCs w:val="24"/>
                <w:u w:val="single"/>
              </w:rPr>
              <w:t>考核項目及內容</w:t>
            </w: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，各款評分總</w:t>
            </w:r>
            <w:r w:rsidR="005E1630">
              <w:rPr>
                <w:rFonts w:ascii="標楷體" w:eastAsia="標楷體" w:hAnsi="標楷體" w:hint="eastAsia"/>
                <w:szCs w:val="24"/>
                <w:u w:val="single"/>
              </w:rPr>
              <w:t>和</w:t>
            </w: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最高為一百分。</w:t>
            </w:r>
          </w:p>
          <w:p w:rsidR="002C139F" w:rsidRPr="00FA09A8" w:rsidRDefault="002C139F" w:rsidP="000D376A">
            <w:pPr>
              <w:tabs>
                <w:tab w:val="left" w:pos="900"/>
                <w:tab w:val="left" w:pos="1080"/>
              </w:tabs>
              <w:adjustRightInd w:val="0"/>
              <w:snapToGrid w:val="0"/>
              <w:ind w:leftChars="177" w:left="907" w:hangingChars="201" w:hanging="482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(二)前點第五款</w:t>
            </w:r>
            <w:r w:rsidR="005E1630">
              <w:rPr>
                <w:rFonts w:ascii="標楷體" w:eastAsia="標楷體" w:hAnsi="標楷體" w:hint="eastAsia"/>
                <w:szCs w:val="24"/>
                <w:u w:val="single"/>
              </w:rPr>
              <w:t>考核項目及內容</w:t>
            </w: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，得於</w:t>
            </w:r>
            <w:r w:rsidR="00FC058B" w:rsidRPr="00FA09A8">
              <w:rPr>
                <w:rFonts w:ascii="標楷體" w:eastAsia="標楷體" w:hAnsi="標楷體" w:hint="eastAsia"/>
                <w:szCs w:val="24"/>
                <w:u w:val="single"/>
              </w:rPr>
              <w:t>前</w:t>
            </w:r>
            <w:r w:rsidR="005E163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評分總</w:t>
            </w:r>
            <w:r w:rsidR="005E1630">
              <w:rPr>
                <w:rFonts w:ascii="標楷體" w:eastAsia="標楷體" w:hAnsi="標楷體" w:hint="eastAsia"/>
                <w:szCs w:val="24"/>
                <w:u w:val="single"/>
              </w:rPr>
              <w:t>和</w:t>
            </w: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之外加減</w:t>
            </w:r>
            <w:r w:rsidR="00AA673E">
              <w:rPr>
                <w:rFonts w:ascii="標楷體" w:eastAsia="標楷體" w:hAnsi="標楷體" w:hint="eastAsia"/>
                <w:szCs w:val="24"/>
                <w:u w:val="single"/>
              </w:rPr>
              <w:t>七</w:t>
            </w: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分。</w:t>
            </w:r>
          </w:p>
          <w:p w:rsidR="00C73D22" w:rsidRPr="00FA09A8" w:rsidRDefault="00C73D22" w:rsidP="003418F4">
            <w:pPr>
              <w:topLinePunct/>
              <w:adjustRightInd w:val="0"/>
              <w:snapToGrid w:val="0"/>
              <w:ind w:leftChars="189" w:left="454" w:rightChars="-5" w:right="-12" w:firstLineChars="179" w:firstLine="430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考核結果</w:t>
            </w:r>
            <w:r w:rsidR="005E1630" w:rsidRPr="004F00E0">
              <w:rPr>
                <w:rFonts w:ascii="標楷體" w:eastAsia="標楷體" w:hAnsi="標楷體" w:hint="eastAsia"/>
                <w:szCs w:val="24"/>
                <w:u w:val="single"/>
              </w:rPr>
              <w:t>評</w:t>
            </w:r>
            <w:r w:rsidRPr="004F00E0">
              <w:rPr>
                <w:rFonts w:ascii="標楷體" w:eastAsia="標楷體" w:hAnsi="標楷體" w:hint="eastAsia"/>
                <w:szCs w:val="24"/>
              </w:rPr>
              <w:t>分達</w:t>
            </w:r>
            <w:r w:rsidRPr="00FA09A8">
              <w:rPr>
                <w:rFonts w:ascii="標楷體" w:eastAsia="標楷體" w:hAnsi="標楷體" w:hint="eastAsia"/>
                <w:szCs w:val="24"/>
              </w:rPr>
              <w:t>六十分以上者，分列等第為：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189" w:left="939" w:hangingChars="202" w:hanging="485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(一)特優：九十分以上。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189" w:left="939" w:hangingChars="202" w:hanging="485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(二)優等：</w:t>
            </w: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八</w:t>
            </w:r>
            <w:r w:rsidRPr="00FA09A8">
              <w:rPr>
                <w:rFonts w:ascii="標楷體" w:eastAsia="標楷體" w:hAnsi="標楷體" w:hint="eastAsia"/>
                <w:szCs w:val="24"/>
              </w:rPr>
              <w:t>十分至</w:t>
            </w: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八</w:t>
            </w:r>
            <w:r w:rsidRPr="00FA09A8">
              <w:rPr>
                <w:rFonts w:ascii="標楷體" w:eastAsia="標楷體" w:hAnsi="標楷體" w:hint="eastAsia"/>
                <w:szCs w:val="24"/>
              </w:rPr>
              <w:t>十</w:t>
            </w:r>
            <w:r w:rsidR="00056F23" w:rsidRPr="00FA09A8">
              <w:rPr>
                <w:rFonts w:ascii="標楷體" w:eastAsia="標楷體" w:hAnsi="標楷體" w:hint="eastAsia"/>
                <w:szCs w:val="24"/>
                <w:u w:val="single"/>
              </w:rPr>
              <w:t>九</w:t>
            </w:r>
            <w:r w:rsidRPr="00FA09A8">
              <w:rPr>
                <w:rFonts w:ascii="標楷體" w:eastAsia="標楷體" w:hAnsi="標楷體" w:hint="eastAsia"/>
                <w:szCs w:val="24"/>
              </w:rPr>
              <w:t>分。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189" w:left="939" w:hangingChars="202" w:hanging="485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(三)良等：</w:t>
            </w: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七</w:t>
            </w:r>
            <w:r w:rsidRPr="00FA09A8">
              <w:rPr>
                <w:rFonts w:ascii="標楷體" w:eastAsia="標楷體" w:hAnsi="標楷體" w:hint="eastAsia"/>
                <w:szCs w:val="24"/>
              </w:rPr>
              <w:t>十分至</w:t>
            </w: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七</w:t>
            </w:r>
            <w:r w:rsidRPr="00FA09A8">
              <w:rPr>
                <w:rFonts w:ascii="標楷體" w:eastAsia="標楷體" w:hAnsi="標楷體" w:hint="eastAsia"/>
                <w:szCs w:val="24"/>
              </w:rPr>
              <w:t>十</w:t>
            </w:r>
            <w:r w:rsidR="00056F23" w:rsidRPr="005E1630">
              <w:rPr>
                <w:rFonts w:ascii="標楷體" w:eastAsia="標楷體" w:hAnsi="標楷體" w:hint="eastAsia"/>
                <w:szCs w:val="24"/>
              </w:rPr>
              <w:t>九</w:t>
            </w:r>
            <w:r w:rsidRPr="00FA09A8">
              <w:rPr>
                <w:rFonts w:ascii="標楷體" w:eastAsia="標楷體" w:hAnsi="標楷體" w:hint="eastAsia"/>
                <w:szCs w:val="24"/>
              </w:rPr>
              <w:t>分。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189" w:left="939" w:hangingChars="202" w:hanging="485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(四)普等：六十分至</w:t>
            </w: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六</w:t>
            </w:r>
            <w:r w:rsidRPr="00FA09A8">
              <w:rPr>
                <w:rFonts w:ascii="標楷體" w:eastAsia="標楷體" w:hAnsi="標楷體" w:hint="eastAsia"/>
                <w:szCs w:val="24"/>
              </w:rPr>
              <w:t>十</w:t>
            </w:r>
            <w:r w:rsidR="00056F23" w:rsidRPr="00FA09A8">
              <w:rPr>
                <w:rFonts w:ascii="標楷體" w:eastAsia="標楷體" w:hAnsi="標楷體" w:hint="eastAsia"/>
                <w:szCs w:val="24"/>
              </w:rPr>
              <w:t>九</w:t>
            </w:r>
            <w:r w:rsidRPr="00FA09A8">
              <w:rPr>
                <w:rFonts w:ascii="標楷體" w:eastAsia="標楷體" w:hAnsi="標楷體" w:hint="eastAsia"/>
                <w:szCs w:val="24"/>
              </w:rPr>
              <w:t>分。</w:t>
            </w:r>
          </w:p>
          <w:p w:rsidR="00C73D22" w:rsidRPr="00FA09A8" w:rsidRDefault="00C73D22" w:rsidP="000F7847">
            <w:pPr>
              <w:topLinePunct/>
              <w:adjustRightInd w:val="0"/>
              <w:snapToGrid w:val="0"/>
              <w:ind w:leftChars="189" w:left="454" w:firstLineChars="179" w:firstLine="430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考核結果</w:t>
            </w:r>
            <w:r w:rsidR="000F7847" w:rsidRPr="004F00E0">
              <w:rPr>
                <w:rFonts w:ascii="標楷體" w:eastAsia="標楷體" w:hAnsi="標楷體" w:hint="eastAsia"/>
                <w:szCs w:val="24"/>
                <w:u w:val="single"/>
              </w:rPr>
              <w:t>評</w:t>
            </w:r>
            <w:r w:rsidRPr="004F00E0">
              <w:rPr>
                <w:rFonts w:ascii="標楷體" w:eastAsia="標楷體" w:hAnsi="標楷體" w:hint="eastAsia"/>
                <w:szCs w:val="24"/>
              </w:rPr>
              <w:t>分</w:t>
            </w:r>
            <w:r w:rsidRPr="00FA09A8">
              <w:rPr>
                <w:rFonts w:ascii="標楷體" w:eastAsia="標楷體" w:hAnsi="標楷體" w:hint="eastAsia"/>
                <w:szCs w:val="24"/>
              </w:rPr>
              <w:t>為五十九分以下者，為未達列等標準，不予列等。</w:t>
            </w:r>
          </w:p>
        </w:tc>
        <w:tc>
          <w:tcPr>
            <w:tcW w:w="2930" w:type="dxa"/>
          </w:tcPr>
          <w:p w:rsidR="00C73D22" w:rsidRPr="00FA09A8" w:rsidRDefault="00C73D22" w:rsidP="000D376A">
            <w:pPr>
              <w:tabs>
                <w:tab w:val="left" w:pos="900"/>
                <w:tab w:val="left" w:pos="1080"/>
              </w:tabs>
              <w:adjustRightInd w:val="0"/>
              <w:snapToGrid w:val="0"/>
              <w:ind w:left="511" w:hangingChars="213" w:hanging="511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六、考核結果分</w:t>
            </w:r>
            <w:r w:rsidRPr="004F00E0">
              <w:rPr>
                <w:rFonts w:ascii="標楷體" w:eastAsia="標楷體" w:hAnsi="標楷體" w:hint="eastAsia"/>
                <w:szCs w:val="24"/>
                <w:u w:val="single"/>
              </w:rPr>
              <w:t>數</w:t>
            </w:r>
            <w:r w:rsidRPr="00FA09A8">
              <w:rPr>
                <w:rFonts w:ascii="標楷體" w:eastAsia="標楷體" w:hAnsi="標楷體" w:hint="eastAsia"/>
                <w:szCs w:val="24"/>
              </w:rPr>
              <w:t>達六十分以上者，分列等第為：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189" w:left="939" w:hangingChars="202" w:hanging="485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(一)特優：九十</w:t>
            </w: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五</w:t>
            </w:r>
            <w:r w:rsidRPr="00FA09A8">
              <w:rPr>
                <w:rFonts w:ascii="標楷體" w:eastAsia="標楷體" w:hAnsi="標楷體" w:hint="eastAsia"/>
                <w:szCs w:val="24"/>
              </w:rPr>
              <w:t>分以上。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189" w:left="939" w:hangingChars="202" w:hanging="485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(二)優等：九十分至九十四分。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189" w:left="939" w:hangingChars="202" w:hanging="485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(三)良等：八十分至八十九分。</w:t>
            </w:r>
          </w:p>
          <w:p w:rsidR="00C73D22" w:rsidRPr="00FA09A8" w:rsidRDefault="00C73D22" w:rsidP="000D376A">
            <w:pPr>
              <w:adjustRightInd w:val="0"/>
              <w:snapToGrid w:val="0"/>
              <w:ind w:leftChars="189" w:left="939" w:hangingChars="202" w:hanging="485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(四)普等：六十分至七十九分。</w:t>
            </w:r>
          </w:p>
          <w:p w:rsidR="00C73D22" w:rsidRPr="00FA09A8" w:rsidRDefault="00C73D22" w:rsidP="003418F4">
            <w:pPr>
              <w:topLinePunct/>
              <w:adjustRightInd w:val="0"/>
              <w:snapToGrid w:val="0"/>
              <w:ind w:leftChars="189" w:left="454" w:firstLineChars="199" w:firstLine="478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考核結果分</w:t>
            </w:r>
            <w:r w:rsidRPr="004F00E0">
              <w:rPr>
                <w:rFonts w:ascii="標楷體" w:eastAsia="標楷體" w:hAnsi="標楷體" w:hint="eastAsia"/>
                <w:szCs w:val="24"/>
                <w:u w:val="single"/>
              </w:rPr>
              <w:t>數</w:t>
            </w:r>
            <w:r w:rsidRPr="00FA09A8">
              <w:rPr>
                <w:rFonts w:ascii="標楷體" w:eastAsia="標楷體" w:hAnsi="標楷體" w:hint="eastAsia"/>
                <w:szCs w:val="24"/>
              </w:rPr>
              <w:t>為五十九分以下者，為未達列等標準，不予列等。</w:t>
            </w:r>
          </w:p>
        </w:tc>
        <w:tc>
          <w:tcPr>
            <w:tcW w:w="2930" w:type="dxa"/>
          </w:tcPr>
          <w:p w:rsidR="00FC058B" w:rsidRPr="00FA09A8" w:rsidRDefault="00FC058B" w:rsidP="000D376A">
            <w:pPr>
              <w:adjustRightInd w:val="0"/>
              <w:snapToGrid w:val="0"/>
              <w:ind w:leftChars="13" w:left="552" w:hangingChars="217" w:hanging="521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FA09A8">
              <w:rPr>
                <w:rFonts w:ascii="標楷體" w:eastAsia="標楷體" w:hAnsi="標楷體" w:hint="eastAsia"/>
                <w:bCs/>
                <w:szCs w:val="24"/>
              </w:rPr>
              <w:t>一、</w:t>
            </w:r>
            <w:r w:rsidR="00F3171A" w:rsidRPr="00FA09A8">
              <w:rPr>
                <w:rFonts w:eastAsia="標楷體" w:hint="eastAsia"/>
                <w:szCs w:val="24"/>
              </w:rPr>
              <w:t>考量考核年度並非所有受考主管機關均會發生重大消費事件，再者重大消費事件發生後，主管機關</w:t>
            </w:r>
            <w:r w:rsidR="000F7847">
              <w:rPr>
                <w:rFonts w:eastAsia="標楷體" w:hint="eastAsia"/>
                <w:szCs w:val="24"/>
              </w:rPr>
              <w:t>之</w:t>
            </w:r>
            <w:r w:rsidR="00F3171A" w:rsidRPr="00FA09A8">
              <w:rPr>
                <w:rFonts w:eastAsia="標楷體" w:hint="eastAsia"/>
                <w:szCs w:val="24"/>
              </w:rPr>
              <w:t>危機處理與應變尤其重要，若處理不當，更可能嚴重影響消費者權益，爰</w:t>
            </w:r>
            <w:r w:rsidR="000F7847">
              <w:rPr>
                <w:rFonts w:eastAsia="標楷體" w:hint="eastAsia"/>
                <w:szCs w:val="24"/>
              </w:rPr>
              <w:t>增列第一項規定，</w:t>
            </w:r>
            <w:r w:rsidR="00F3171A" w:rsidRPr="00FA09A8">
              <w:rPr>
                <w:rFonts w:eastAsia="標楷體" w:hint="eastAsia"/>
                <w:szCs w:val="24"/>
              </w:rPr>
              <w:t>依本院消費者保護會第</w:t>
            </w:r>
            <w:r w:rsidR="000F7847">
              <w:rPr>
                <w:rFonts w:eastAsia="標楷體" w:hint="eastAsia"/>
                <w:szCs w:val="24"/>
              </w:rPr>
              <w:t>四十三</w:t>
            </w:r>
            <w:r w:rsidR="00F3171A" w:rsidRPr="00FA09A8">
              <w:rPr>
                <w:rFonts w:eastAsia="標楷體" w:hint="eastAsia"/>
                <w:szCs w:val="24"/>
              </w:rPr>
              <w:t>次會議決議，將</w:t>
            </w:r>
            <w:r w:rsidR="00C54D38" w:rsidRPr="00FA09A8">
              <w:rPr>
                <w:rFonts w:eastAsia="標楷體" w:hint="eastAsia"/>
                <w:szCs w:val="24"/>
              </w:rPr>
              <w:t>考核項目「考核年度發生重大消費事件之處理</w:t>
            </w:r>
            <w:r w:rsidR="00B050EF">
              <w:rPr>
                <w:rFonts w:eastAsia="標楷體" w:hint="eastAsia"/>
                <w:szCs w:val="24"/>
              </w:rPr>
              <w:t>及</w:t>
            </w:r>
            <w:r w:rsidR="00C54D38" w:rsidRPr="00FA09A8">
              <w:rPr>
                <w:rFonts w:eastAsia="標楷體" w:hint="eastAsia"/>
                <w:szCs w:val="24"/>
              </w:rPr>
              <w:t>應變措施」</w:t>
            </w:r>
            <w:r w:rsidR="004F00E0">
              <w:rPr>
                <w:rFonts w:eastAsia="標楷體" w:hint="eastAsia"/>
                <w:szCs w:val="24"/>
              </w:rPr>
              <w:t>列為總分之外之</w:t>
            </w:r>
            <w:r w:rsidR="00F3171A" w:rsidRPr="00FA09A8">
              <w:rPr>
                <w:rFonts w:eastAsia="標楷體" w:hint="eastAsia"/>
                <w:szCs w:val="24"/>
              </w:rPr>
              <w:t>加減分項目。</w:t>
            </w:r>
          </w:p>
          <w:p w:rsidR="00C73D22" w:rsidRPr="00FA09A8" w:rsidRDefault="00FC058B" w:rsidP="000F7847">
            <w:pPr>
              <w:adjustRightInd w:val="0"/>
              <w:snapToGrid w:val="0"/>
              <w:ind w:leftChars="13" w:left="552" w:hangingChars="217" w:hanging="521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bCs/>
                <w:szCs w:val="24"/>
              </w:rPr>
              <w:t>二、</w:t>
            </w:r>
            <w:r w:rsidR="000F7847">
              <w:rPr>
                <w:rFonts w:ascii="標楷體" w:eastAsia="標楷體" w:hAnsi="標楷體" w:hint="eastAsia"/>
                <w:bCs/>
                <w:szCs w:val="24"/>
              </w:rPr>
              <w:t>現行第一項及第二項移列為第二項及第三項，並</w:t>
            </w:r>
            <w:r w:rsidR="00D24F73" w:rsidRPr="00FA09A8">
              <w:rPr>
                <w:rFonts w:ascii="標楷體" w:eastAsia="標楷體" w:hAnsi="標楷體" w:hint="eastAsia"/>
                <w:bCs/>
                <w:szCs w:val="24"/>
              </w:rPr>
              <w:t>依據本院消費者保護會第</w:t>
            </w:r>
            <w:r w:rsidR="000F7847">
              <w:rPr>
                <w:rFonts w:ascii="標楷體" w:eastAsia="標楷體" w:hAnsi="標楷體" w:hint="eastAsia"/>
                <w:bCs/>
                <w:szCs w:val="24"/>
              </w:rPr>
              <w:t>四十三</w:t>
            </w:r>
            <w:r w:rsidR="00D24F73" w:rsidRPr="00FA09A8">
              <w:rPr>
                <w:rFonts w:ascii="標楷體" w:eastAsia="標楷體" w:hAnsi="標楷體" w:hint="eastAsia"/>
                <w:bCs/>
                <w:szCs w:val="24"/>
              </w:rPr>
              <w:t>次會議決議</w:t>
            </w:r>
            <w:r w:rsidR="00C73D22" w:rsidRPr="00FA09A8">
              <w:rPr>
                <w:rFonts w:ascii="標楷體" w:eastAsia="標楷體" w:hAnsi="標楷體" w:hint="eastAsia"/>
                <w:szCs w:val="24"/>
              </w:rPr>
              <w:t>，</w:t>
            </w:r>
            <w:r w:rsidR="00D24F73" w:rsidRPr="00FA09A8">
              <w:rPr>
                <w:rFonts w:ascii="標楷體" w:eastAsia="標楷體" w:hAnsi="標楷體" w:hint="eastAsia"/>
                <w:szCs w:val="24"/>
              </w:rPr>
              <w:t>調整</w:t>
            </w:r>
            <w:r w:rsidR="000F7847">
              <w:rPr>
                <w:rFonts w:ascii="標楷體" w:eastAsia="標楷體" w:hAnsi="標楷體" w:hint="eastAsia"/>
                <w:szCs w:val="24"/>
              </w:rPr>
              <w:t>第二項所定</w:t>
            </w:r>
            <w:r w:rsidR="00D24F73" w:rsidRPr="00FA09A8">
              <w:rPr>
                <w:rFonts w:ascii="標楷體" w:eastAsia="標楷體" w:hAnsi="標楷體" w:hint="eastAsia"/>
                <w:szCs w:val="24"/>
              </w:rPr>
              <w:t>考核結果</w:t>
            </w:r>
            <w:r w:rsidR="00C73D22" w:rsidRPr="00FA09A8">
              <w:rPr>
                <w:rFonts w:ascii="標楷體" w:eastAsia="標楷體" w:hAnsi="標楷體" w:hint="eastAsia"/>
                <w:szCs w:val="24"/>
              </w:rPr>
              <w:t>各等第</w:t>
            </w:r>
            <w:r w:rsidR="000F7847">
              <w:rPr>
                <w:rFonts w:ascii="標楷體" w:eastAsia="標楷體" w:hAnsi="標楷體" w:hint="eastAsia"/>
                <w:szCs w:val="24"/>
              </w:rPr>
              <w:t>之</w:t>
            </w:r>
            <w:r w:rsidR="00C73D22" w:rsidRPr="00FA09A8">
              <w:rPr>
                <w:rFonts w:ascii="標楷體" w:eastAsia="標楷體" w:hAnsi="標楷體" w:hint="eastAsia"/>
                <w:szCs w:val="24"/>
              </w:rPr>
              <w:t>分數級距</w:t>
            </w:r>
            <w:r w:rsidR="00D24F73" w:rsidRPr="00FA09A8">
              <w:rPr>
                <w:rFonts w:ascii="標楷體" w:eastAsia="標楷體" w:hAnsi="標楷體" w:hint="eastAsia"/>
                <w:szCs w:val="24"/>
              </w:rPr>
              <w:t>，每一級距皆為</w:t>
            </w:r>
            <w:r w:rsidR="000F7847">
              <w:rPr>
                <w:rFonts w:ascii="標楷體" w:eastAsia="標楷體" w:hAnsi="標楷體" w:hint="eastAsia"/>
                <w:szCs w:val="24"/>
              </w:rPr>
              <w:t>十</w:t>
            </w:r>
            <w:r w:rsidR="00D24F73" w:rsidRPr="00FA09A8">
              <w:rPr>
                <w:rFonts w:ascii="標楷體" w:eastAsia="標楷體" w:hAnsi="標楷體" w:hint="eastAsia"/>
                <w:szCs w:val="24"/>
              </w:rPr>
              <w:t>分，以符合一般統計慣例</w:t>
            </w:r>
            <w:r w:rsidR="00C73D22" w:rsidRPr="00FA09A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73D22" w:rsidRPr="00FA09A8" w:rsidTr="000D376A">
        <w:tc>
          <w:tcPr>
            <w:tcW w:w="2929" w:type="dxa"/>
          </w:tcPr>
          <w:p w:rsidR="00C73D22" w:rsidRPr="00FA09A8" w:rsidRDefault="000F7847" w:rsidP="000D376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十、（刪除）</w:t>
            </w:r>
          </w:p>
        </w:tc>
        <w:tc>
          <w:tcPr>
            <w:tcW w:w="2930" w:type="dxa"/>
          </w:tcPr>
          <w:p w:rsidR="00C73D22" w:rsidRPr="00FA09A8" w:rsidRDefault="00C73D22" w:rsidP="000D376A">
            <w:pPr>
              <w:topLinePunct/>
              <w:adjustRightInd w:val="0"/>
              <w:snapToGrid w:val="0"/>
              <w:ind w:left="511" w:hangingChars="213" w:hanging="511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十、考核年度如發生重大消費事件，本院得請受考核機關於實地考核時提報辦理情形，或請該受考核機關於次一年度辦理複核作業。</w:t>
            </w:r>
          </w:p>
        </w:tc>
        <w:tc>
          <w:tcPr>
            <w:tcW w:w="2930" w:type="dxa"/>
          </w:tcPr>
          <w:p w:rsidR="00C73D22" w:rsidRPr="00FA09A8" w:rsidRDefault="00C73D22" w:rsidP="000D376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一、</w:t>
            </w:r>
            <w:r w:rsidRPr="00FA09A8">
              <w:rPr>
                <w:rFonts w:ascii="標楷體" w:eastAsia="標楷體" w:hAnsi="標楷體" w:hint="eastAsia"/>
                <w:szCs w:val="24"/>
                <w:u w:val="single"/>
              </w:rPr>
              <w:t>本點刪除</w:t>
            </w:r>
            <w:r w:rsidRPr="00FA09A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73D22" w:rsidRPr="00FA09A8" w:rsidRDefault="00C73D22" w:rsidP="000F7847">
            <w:pPr>
              <w:adjustRightInd w:val="0"/>
              <w:snapToGrid w:val="0"/>
              <w:ind w:leftChars="-6" w:left="552" w:hangingChars="236" w:hanging="566"/>
              <w:jc w:val="both"/>
              <w:rPr>
                <w:rFonts w:ascii="標楷體" w:eastAsia="標楷體" w:hAnsi="標楷體"/>
                <w:szCs w:val="24"/>
              </w:rPr>
            </w:pPr>
            <w:r w:rsidRPr="00FA09A8">
              <w:rPr>
                <w:rFonts w:ascii="標楷體" w:eastAsia="標楷體" w:hAnsi="標楷體" w:hint="eastAsia"/>
                <w:szCs w:val="24"/>
              </w:rPr>
              <w:t>二、</w:t>
            </w:r>
            <w:r w:rsidR="00056F23" w:rsidRPr="00FA09A8">
              <w:rPr>
                <w:rFonts w:ascii="標楷體" w:eastAsia="標楷體" w:hAnsi="標楷體" w:hint="eastAsia"/>
                <w:szCs w:val="24"/>
              </w:rPr>
              <w:t>考核年度發生重大消費事件</w:t>
            </w:r>
            <w:r w:rsidR="00484607" w:rsidRPr="004F00E0">
              <w:rPr>
                <w:rFonts w:ascii="標楷體" w:eastAsia="標楷體" w:hAnsi="標楷體" w:hint="eastAsia"/>
                <w:szCs w:val="24"/>
              </w:rPr>
              <w:t>之考核</w:t>
            </w:r>
            <w:r w:rsidR="000F7847" w:rsidRPr="000F7847">
              <w:rPr>
                <w:rFonts w:ascii="標楷體" w:eastAsia="標楷體" w:hAnsi="標楷體" w:hint="eastAsia"/>
                <w:szCs w:val="24"/>
              </w:rPr>
              <w:t>已</w:t>
            </w:r>
            <w:r w:rsidR="00056F23" w:rsidRPr="00FA09A8">
              <w:rPr>
                <w:rFonts w:ascii="標楷體" w:eastAsia="標楷體" w:hAnsi="標楷體" w:hint="eastAsia"/>
                <w:szCs w:val="24"/>
              </w:rPr>
              <w:t>增列於第五點</w:t>
            </w:r>
            <w:r w:rsidR="000F7847">
              <w:rPr>
                <w:rFonts w:ascii="標楷體" w:eastAsia="標楷體" w:hAnsi="標楷體" w:hint="eastAsia"/>
                <w:szCs w:val="24"/>
              </w:rPr>
              <w:t>第五款規範，爰刪除本點規定</w:t>
            </w:r>
            <w:r w:rsidR="00056F23" w:rsidRPr="00FA09A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336841" w:rsidRPr="00FA09A8" w:rsidRDefault="00336841" w:rsidP="0024550F">
      <w:pPr>
        <w:jc w:val="center"/>
      </w:pPr>
    </w:p>
    <w:sectPr w:rsidR="00336841" w:rsidRPr="00FA09A8" w:rsidSect="000D376A">
      <w:footerReference w:type="default" r:id="rId8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949" w:rsidRDefault="001B2949" w:rsidP="00336841">
      <w:r>
        <w:separator/>
      </w:r>
    </w:p>
  </w:endnote>
  <w:endnote w:type="continuationSeparator" w:id="0">
    <w:p w:rsidR="001B2949" w:rsidRDefault="001B2949" w:rsidP="0033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46446"/>
      <w:docPartObj>
        <w:docPartGallery w:val="Page Numbers (Bottom of Page)"/>
        <w:docPartUnique/>
      </w:docPartObj>
    </w:sdtPr>
    <w:sdtEndPr/>
    <w:sdtContent>
      <w:p w:rsidR="0086323A" w:rsidRDefault="009631C4">
        <w:pPr>
          <w:pStyle w:val="a6"/>
        </w:pPr>
        <w:r>
          <w:fldChar w:fldCharType="begin"/>
        </w:r>
        <w:r w:rsidR="00702DB5">
          <w:instrText xml:space="preserve"> PAGE   \* MERGEFORMAT </w:instrText>
        </w:r>
        <w:r>
          <w:fldChar w:fldCharType="separate"/>
        </w:r>
        <w:r w:rsidR="00927944" w:rsidRPr="00927944">
          <w:rPr>
            <w:noProof/>
            <w:lang w:val="zh-TW"/>
          </w:rPr>
          <w:t>1</w:t>
        </w:r>
        <w:r>
          <w:fldChar w:fldCharType="end"/>
        </w:r>
      </w:p>
    </w:sdtContent>
  </w:sdt>
  <w:p w:rsidR="0086323A" w:rsidRDefault="008632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949" w:rsidRDefault="001B2949" w:rsidP="00336841">
      <w:r>
        <w:separator/>
      </w:r>
    </w:p>
  </w:footnote>
  <w:footnote w:type="continuationSeparator" w:id="0">
    <w:p w:rsidR="001B2949" w:rsidRDefault="001B2949" w:rsidP="0033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8229D"/>
    <w:multiLevelType w:val="hybridMultilevel"/>
    <w:tmpl w:val="9A1E15B0"/>
    <w:lvl w:ilvl="0" w:tplc="5282D4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0F"/>
    <w:rsid w:val="0000423C"/>
    <w:rsid w:val="00056F23"/>
    <w:rsid w:val="000B5C0E"/>
    <w:rsid w:val="000C0CF0"/>
    <w:rsid w:val="000D376A"/>
    <w:rsid w:val="000D6580"/>
    <w:rsid w:val="000F471D"/>
    <w:rsid w:val="000F7847"/>
    <w:rsid w:val="00141747"/>
    <w:rsid w:val="001924DA"/>
    <w:rsid w:val="001A12BC"/>
    <w:rsid w:val="001B1463"/>
    <w:rsid w:val="001B2949"/>
    <w:rsid w:val="001F254F"/>
    <w:rsid w:val="001F29C9"/>
    <w:rsid w:val="00222610"/>
    <w:rsid w:val="00234B93"/>
    <w:rsid w:val="0024550F"/>
    <w:rsid w:val="00253AFD"/>
    <w:rsid w:val="002A5842"/>
    <w:rsid w:val="002B672B"/>
    <w:rsid w:val="002C139F"/>
    <w:rsid w:val="002E439C"/>
    <w:rsid w:val="002E5645"/>
    <w:rsid w:val="002F6F88"/>
    <w:rsid w:val="00315B0F"/>
    <w:rsid w:val="00315C3B"/>
    <w:rsid w:val="00336841"/>
    <w:rsid w:val="003418F4"/>
    <w:rsid w:val="00342480"/>
    <w:rsid w:val="00356F7B"/>
    <w:rsid w:val="00361549"/>
    <w:rsid w:val="00366763"/>
    <w:rsid w:val="003A053A"/>
    <w:rsid w:val="003D64C2"/>
    <w:rsid w:val="003E2EE9"/>
    <w:rsid w:val="00420DAB"/>
    <w:rsid w:val="00423972"/>
    <w:rsid w:val="00443281"/>
    <w:rsid w:val="00484607"/>
    <w:rsid w:val="004F00E0"/>
    <w:rsid w:val="004F58BC"/>
    <w:rsid w:val="00557E6C"/>
    <w:rsid w:val="00577E44"/>
    <w:rsid w:val="005A1E4D"/>
    <w:rsid w:val="005A54BD"/>
    <w:rsid w:val="005D4F42"/>
    <w:rsid w:val="005E1630"/>
    <w:rsid w:val="00604394"/>
    <w:rsid w:val="006105A9"/>
    <w:rsid w:val="00691EE0"/>
    <w:rsid w:val="006937C9"/>
    <w:rsid w:val="006C4E85"/>
    <w:rsid w:val="006D183E"/>
    <w:rsid w:val="00702DB5"/>
    <w:rsid w:val="0071725D"/>
    <w:rsid w:val="007305AD"/>
    <w:rsid w:val="007443E9"/>
    <w:rsid w:val="0078041A"/>
    <w:rsid w:val="00802468"/>
    <w:rsid w:val="00814384"/>
    <w:rsid w:val="00835968"/>
    <w:rsid w:val="0083655A"/>
    <w:rsid w:val="00854D1D"/>
    <w:rsid w:val="00860FB8"/>
    <w:rsid w:val="0086323A"/>
    <w:rsid w:val="0087212F"/>
    <w:rsid w:val="0088516F"/>
    <w:rsid w:val="00886E9E"/>
    <w:rsid w:val="008A7C4D"/>
    <w:rsid w:val="008D3038"/>
    <w:rsid w:val="008D321B"/>
    <w:rsid w:val="00900E78"/>
    <w:rsid w:val="009213C1"/>
    <w:rsid w:val="00927944"/>
    <w:rsid w:val="00955E06"/>
    <w:rsid w:val="00961DE7"/>
    <w:rsid w:val="009631C4"/>
    <w:rsid w:val="009E46D9"/>
    <w:rsid w:val="00A35EAD"/>
    <w:rsid w:val="00A61E6B"/>
    <w:rsid w:val="00A93256"/>
    <w:rsid w:val="00AA673E"/>
    <w:rsid w:val="00AC6840"/>
    <w:rsid w:val="00AD5A33"/>
    <w:rsid w:val="00AE0DA6"/>
    <w:rsid w:val="00AE7ACC"/>
    <w:rsid w:val="00B050EF"/>
    <w:rsid w:val="00B220CD"/>
    <w:rsid w:val="00B81532"/>
    <w:rsid w:val="00BC7E7B"/>
    <w:rsid w:val="00BF50C0"/>
    <w:rsid w:val="00C1314B"/>
    <w:rsid w:val="00C14ABC"/>
    <w:rsid w:val="00C54D38"/>
    <w:rsid w:val="00C73D22"/>
    <w:rsid w:val="00C91A5B"/>
    <w:rsid w:val="00CC1EEA"/>
    <w:rsid w:val="00CE7C0F"/>
    <w:rsid w:val="00D056BD"/>
    <w:rsid w:val="00D0606B"/>
    <w:rsid w:val="00D24F73"/>
    <w:rsid w:val="00D4161A"/>
    <w:rsid w:val="00D52DFE"/>
    <w:rsid w:val="00D52E9F"/>
    <w:rsid w:val="00D66F56"/>
    <w:rsid w:val="00DA32E1"/>
    <w:rsid w:val="00DB1CA3"/>
    <w:rsid w:val="00DB4215"/>
    <w:rsid w:val="00DC4AEB"/>
    <w:rsid w:val="00DD1325"/>
    <w:rsid w:val="00DF2589"/>
    <w:rsid w:val="00E158CF"/>
    <w:rsid w:val="00E52901"/>
    <w:rsid w:val="00E56710"/>
    <w:rsid w:val="00E57663"/>
    <w:rsid w:val="00E6067E"/>
    <w:rsid w:val="00E63715"/>
    <w:rsid w:val="00E92672"/>
    <w:rsid w:val="00E95027"/>
    <w:rsid w:val="00EA3143"/>
    <w:rsid w:val="00F0116D"/>
    <w:rsid w:val="00F0138D"/>
    <w:rsid w:val="00F3171A"/>
    <w:rsid w:val="00F85E1C"/>
    <w:rsid w:val="00F9131E"/>
    <w:rsid w:val="00F97CAD"/>
    <w:rsid w:val="00FA09A8"/>
    <w:rsid w:val="00FB375E"/>
    <w:rsid w:val="00FB58BD"/>
    <w:rsid w:val="00FC058B"/>
    <w:rsid w:val="00FD6520"/>
    <w:rsid w:val="00F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68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6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6841"/>
    <w:rPr>
      <w:sz w:val="20"/>
      <w:szCs w:val="20"/>
    </w:rPr>
  </w:style>
  <w:style w:type="paragraph" w:styleId="a8">
    <w:name w:val="List Paragraph"/>
    <w:basedOn w:val="a"/>
    <w:uiPriority w:val="34"/>
    <w:qFormat/>
    <w:rsid w:val="00E158C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68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6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6841"/>
    <w:rPr>
      <w:sz w:val="20"/>
      <w:szCs w:val="20"/>
    </w:rPr>
  </w:style>
  <w:style w:type="paragraph" w:styleId="a8">
    <w:name w:val="List Paragraph"/>
    <w:basedOn w:val="a"/>
    <w:uiPriority w:val="34"/>
    <w:qFormat/>
    <w:rsid w:val="00E158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Company>EY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消費者保護處督導協調科莊雅琇</dc:creator>
  <cp:lastModifiedBy>i2506</cp:lastModifiedBy>
  <cp:revision>2</cp:revision>
  <cp:lastPrinted>2015-12-29T07:36:00Z</cp:lastPrinted>
  <dcterms:created xsi:type="dcterms:W3CDTF">2016-01-13T07:38:00Z</dcterms:created>
  <dcterms:modified xsi:type="dcterms:W3CDTF">2016-01-13T07:38:00Z</dcterms:modified>
</cp:coreProperties>
</file>