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33" w:rsidRPr="00357998" w:rsidRDefault="002F4133" w:rsidP="002F4133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57998">
        <w:rPr>
          <w:rFonts w:ascii="標楷體" w:eastAsia="標楷體" w:hAnsi="標楷體" w:cs="Times New Roman" w:hint="eastAsia"/>
          <w:b/>
          <w:sz w:val="36"/>
          <w:szCs w:val="36"/>
        </w:rPr>
        <w:t>核能研究所小額採購作業注意事項</w:t>
      </w:r>
    </w:p>
    <w:p w:rsidR="002F4133" w:rsidRPr="00357998" w:rsidRDefault="002F4133" w:rsidP="002F4133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2F4133" w:rsidRPr="00357998" w:rsidRDefault="002F4133" w:rsidP="002F4133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357998">
        <w:rPr>
          <w:rFonts w:ascii="標楷體" w:eastAsia="標楷體" w:hAnsi="標楷體" w:cs="Times New Roman" w:hint="eastAsia"/>
          <w:kern w:val="0"/>
          <w:sz w:val="20"/>
          <w:szCs w:val="20"/>
        </w:rPr>
        <w:t>中華民國10</w:t>
      </w:r>
      <w:bookmarkStart w:id="0" w:name="_GoBack"/>
      <w:bookmarkEnd w:id="0"/>
      <w:r w:rsidRPr="00357998">
        <w:rPr>
          <w:rFonts w:ascii="標楷體" w:eastAsia="標楷體" w:hAnsi="標楷體" w:cs="Times New Roman" w:hint="eastAsia"/>
          <w:kern w:val="0"/>
          <w:sz w:val="20"/>
          <w:szCs w:val="20"/>
        </w:rPr>
        <w:t>4年</w:t>
      </w:r>
      <w:r w:rsidR="0067648B">
        <w:rPr>
          <w:rFonts w:ascii="標楷體" w:eastAsia="標楷體" w:hAnsi="標楷體" w:cs="Times New Roman" w:hint="eastAsia"/>
          <w:kern w:val="0"/>
          <w:sz w:val="20"/>
          <w:szCs w:val="20"/>
        </w:rPr>
        <w:t>12</w:t>
      </w:r>
      <w:r w:rsidRPr="00357998">
        <w:rPr>
          <w:rFonts w:ascii="標楷體" w:eastAsia="標楷體" w:hAnsi="標楷體" w:cs="Times New Roman" w:hint="eastAsia"/>
          <w:kern w:val="0"/>
          <w:sz w:val="20"/>
          <w:szCs w:val="20"/>
        </w:rPr>
        <w:t>月</w:t>
      </w:r>
      <w:r w:rsidR="0067648B">
        <w:rPr>
          <w:rFonts w:ascii="標楷體" w:eastAsia="標楷體" w:hAnsi="標楷體" w:cs="Times New Roman" w:hint="eastAsia"/>
          <w:kern w:val="0"/>
          <w:sz w:val="20"/>
          <w:szCs w:val="20"/>
        </w:rPr>
        <w:t>24</w:t>
      </w:r>
      <w:r w:rsidRPr="0067648B">
        <w:rPr>
          <w:rFonts w:ascii="標楷體" w:eastAsia="標楷體" w:hAnsi="標楷體" w:cs="Times New Roman" w:hint="eastAsia"/>
          <w:kern w:val="0"/>
          <w:sz w:val="20"/>
          <w:szCs w:val="20"/>
        </w:rPr>
        <w:t xml:space="preserve"> </w:t>
      </w:r>
      <w:proofErr w:type="gramStart"/>
      <w:r w:rsidRPr="0067648B">
        <w:rPr>
          <w:rFonts w:ascii="標楷體" w:eastAsia="標楷體" w:hAnsi="標楷體" w:cs="Times New Roman" w:hint="eastAsia"/>
          <w:kern w:val="0"/>
          <w:sz w:val="20"/>
          <w:szCs w:val="20"/>
        </w:rPr>
        <w:t>日核秘</w:t>
      </w:r>
      <w:proofErr w:type="gramEnd"/>
      <w:r w:rsidRPr="0067648B">
        <w:rPr>
          <w:rFonts w:ascii="標楷體" w:eastAsia="標楷體" w:hAnsi="標楷體" w:cs="Times New Roman" w:hint="eastAsia"/>
          <w:kern w:val="0"/>
          <w:sz w:val="20"/>
          <w:szCs w:val="20"/>
        </w:rPr>
        <w:t>字第</w:t>
      </w:r>
      <w:r w:rsidR="0067648B" w:rsidRPr="0067648B">
        <w:rPr>
          <w:rFonts w:ascii="標楷體" w:eastAsia="標楷體" w:hAnsi="標楷體" w:cs="Times New Roman" w:hint="eastAsia"/>
          <w:kern w:val="0"/>
          <w:sz w:val="20"/>
          <w:szCs w:val="20"/>
        </w:rPr>
        <w:t>1040008381</w:t>
      </w:r>
      <w:r w:rsidRPr="0067648B">
        <w:rPr>
          <w:rFonts w:ascii="標楷體" w:eastAsia="標楷體" w:hAnsi="標楷體" w:cs="Times New Roman" w:hint="eastAsia"/>
          <w:kern w:val="0"/>
          <w:sz w:val="20"/>
          <w:szCs w:val="20"/>
        </w:rPr>
        <w:t>號函修訂</w:t>
      </w: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505A40">
        <w:rPr>
          <w:rFonts w:ascii="標楷體" w:eastAsia="標楷體" w:hAnsi="標楷體" w:cs="Times New Roman" w:hint="eastAsia"/>
          <w:color w:val="000000"/>
          <w:kern w:val="0"/>
          <w:szCs w:val="24"/>
        </w:rPr>
        <w:t>一、行政院原子能委員會核能研究所(以下簡稱本所)為增進採購作業效率、減少採購爭議及確保採購品質，並落實政府採購法暨相關子法之規定，特訂定本注意事項。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二</w:t>
      </w:r>
      <w:r w:rsidRPr="00D4137A">
        <w:rPr>
          <w:rFonts w:ascii="標楷體" w:eastAsia="標楷體" w:hAnsi="標楷體" w:hint="eastAsia"/>
          <w:szCs w:val="24"/>
        </w:rPr>
        <w:t>、定義：小額採購係指採購金額未達公告金額十分之一者屬之。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</w:t>
      </w:r>
      <w:r w:rsidRPr="00D4137A">
        <w:rPr>
          <w:rFonts w:ascii="標楷體" w:eastAsia="標楷體" w:hAnsi="標楷體" w:cs="Times New Roman" w:hint="eastAsia"/>
          <w:szCs w:val="24"/>
        </w:rPr>
        <w:t>、採購申請作業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因</w:t>
      </w:r>
      <w:r w:rsidRPr="00D4137A">
        <w:rPr>
          <w:rFonts w:ascii="標楷體" w:eastAsia="標楷體" w:hAnsi="標楷體" w:cs="Times New Roman"/>
          <w:szCs w:val="24"/>
        </w:rPr>
        <w:t>屬緊急情況</w:t>
      </w:r>
      <w:r>
        <w:rPr>
          <w:rFonts w:ascii="新細明體" w:eastAsia="新細明體" w:hAnsi="新細明體" w:cs="Times New Roman" w:hint="eastAsia"/>
          <w:szCs w:val="24"/>
        </w:rPr>
        <w:t>、</w:t>
      </w:r>
      <w:r w:rsidRPr="00D4137A">
        <w:rPr>
          <w:rFonts w:ascii="標楷體" w:eastAsia="標楷體" w:hAnsi="標楷體" w:cs="Times New Roman" w:hint="eastAsia"/>
          <w:szCs w:val="24"/>
        </w:rPr>
        <w:t>或影響安全、或具特殊性之</w:t>
      </w:r>
      <w:r>
        <w:rPr>
          <w:rFonts w:ascii="標楷體" w:eastAsia="標楷體" w:hAnsi="標楷體" w:cs="Times New Roman" w:hint="eastAsia"/>
          <w:szCs w:val="24"/>
        </w:rPr>
        <w:t>情形而</w:t>
      </w:r>
      <w:r w:rsidRPr="00D4137A">
        <w:rPr>
          <w:rFonts w:ascii="標楷體" w:eastAsia="標楷體" w:hAnsi="標楷體" w:cs="Times New Roman" w:hint="eastAsia"/>
          <w:szCs w:val="24"/>
        </w:rPr>
        <w:t>採購</w:t>
      </w:r>
      <w:r>
        <w:rPr>
          <w:rFonts w:ascii="標楷體" w:eastAsia="標楷體" w:hAnsi="標楷體" w:cs="Times New Roman" w:hint="eastAsia"/>
          <w:szCs w:val="24"/>
        </w:rPr>
        <w:t>之必要</w:t>
      </w:r>
      <w:r w:rsidRPr="00D4137A">
        <w:rPr>
          <w:rFonts w:ascii="標楷體" w:eastAsia="標楷體" w:hAnsi="標楷體" w:cs="Times New Roman" w:hint="eastAsia"/>
          <w:szCs w:val="24"/>
        </w:rPr>
        <w:t>，請購單位應敘明理由，依中央機關未達公告金額採購招標辦法第5條及政府採購法小額採購相關規定辦理。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)採購申請應確實訪價，洽取二家以上之報價單，不可由一廠商提供二家以上之報價單，如無法取得二家以上之報價單，應於自我檢核表中詳細說明。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)除無辦理議價之必要或可能者外，仍應視個案特性，考慮廠商報價之合理性，辦理議價程序。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)採購申請單時間，不得逾廠商報價之有效期間 (應注意廠商報價單上填寫之有效時效，例如:本報價單有效期限為三十天)。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)「投標標價清單/採購明細表」之「標的名稱、規格及型號」或規範，除依本所各單位之需求所訂製之產品外，不得抄襲特定廠商之規格。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六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)履約期限內如必須完成性能測試或教育訓練，應於「投標標價清單/採購明細表」其他履約事項或規範中載明。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七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FA2CBC">
        <w:rPr>
          <w:rFonts w:ascii="標楷體" w:eastAsia="標楷體" w:hAnsi="標楷體" w:cs="Times New Roman" w:hint="eastAsia"/>
          <w:kern w:val="0"/>
          <w:szCs w:val="24"/>
        </w:rPr>
        <w:t>採購申請奉核准後應簽訂</w:t>
      </w:r>
      <w:r w:rsidRPr="00FA2CBC">
        <w:rPr>
          <w:rFonts w:ascii="標楷體" w:eastAsia="標楷體" w:hAnsi="標楷體" w:cs="微軟正黑體" w:hint="eastAsia"/>
          <w:spacing w:val="5"/>
          <w:kern w:val="0"/>
          <w:position w:val="-1"/>
          <w:szCs w:val="24"/>
        </w:rPr>
        <w:t>核能研究所小額採購簡易契約(如附件1)。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八</w:t>
      </w:r>
      <w:r w:rsidRPr="00D4137A">
        <w:rPr>
          <w:rFonts w:ascii="標楷體" w:eastAsia="標楷體" w:hAnsi="標楷體" w:cs="Times New Roman" w:hint="eastAsia"/>
          <w:szCs w:val="24"/>
        </w:rPr>
        <w:t>)本所小額採購案件除水電工程採購案及委託設計監造勞務採購案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需加會秘書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室水電營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繕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科，其餘免會。</w:t>
      </w:r>
    </w:p>
    <w:p w:rsidR="002F4133" w:rsidRDefault="002F4133" w:rsidP="002F4133">
      <w:pPr>
        <w:tabs>
          <w:tab w:val="left" w:pos="2835"/>
        </w:tabs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不得以小額採購方式辦理</w:t>
      </w:r>
      <w:r>
        <w:rPr>
          <w:rFonts w:ascii="新細明體" w:eastAsia="新細明體" w:hAnsi="新細明體" w:cs="Times New Roman" w:hint="eastAsia"/>
          <w:szCs w:val="24"/>
        </w:rPr>
        <w:t>：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)例行性、不定期多次支用之採購項目，應預估全年度使用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量綜整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為一案，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分批依實際支用數量付款為原則，不得分批採購。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D4137A">
        <w:rPr>
          <w:rFonts w:ascii="標楷體" w:eastAsia="標楷體" w:hAnsi="標楷體" w:cs="Times New Roman" w:hint="eastAsia"/>
          <w:szCs w:val="24"/>
        </w:rPr>
        <w:t>(二)請購單位應先查明採購項目是否屬共同供應契約、或本所開口合約或集中採購項目，如屬之應以該類別辦理，不得以小額採購辦理。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五</w:t>
      </w:r>
      <w:r w:rsidRPr="00D4137A">
        <w:rPr>
          <w:rFonts w:ascii="標楷體" w:eastAsia="標楷體" w:hAnsi="標楷體" w:cs="Times New Roman" w:hint="eastAsia"/>
          <w:szCs w:val="24"/>
        </w:rPr>
        <w:t>、履約驗收結報作業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)收貨人按採購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明細所列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規格條件核對無誤後，應於廠商送貨單文件中簽名並加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日期，另可視個案情形（如工程、維修耗材等）予以拍照。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(二)採購案辦理驗收時，原採購申請人員不得擔任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主驗人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(三)依</w:t>
      </w:r>
      <w:r>
        <w:rPr>
          <w:rFonts w:ascii="標楷體" w:eastAsia="標楷體" w:hAnsi="標楷體" w:cs="Times New Roman" w:hint="eastAsia"/>
          <w:szCs w:val="24"/>
        </w:rPr>
        <w:t>契</w:t>
      </w:r>
      <w:r w:rsidRPr="00D4137A">
        <w:rPr>
          <w:rFonts w:ascii="標楷體" w:eastAsia="標楷體" w:hAnsi="標楷體" w:cs="Times New Roman" w:hint="eastAsia"/>
          <w:szCs w:val="24"/>
        </w:rPr>
        <w:t>約驗收方式就履約項目逐項點驗、測試，並填</w:t>
      </w:r>
      <w:r>
        <w:rPr>
          <w:rFonts w:ascii="標楷體" w:eastAsia="標楷體" w:hAnsi="標楷體" w:cs="Times New Roman" w:hint="eastAsia"/>
          <w:szCs w:val="24"/>
        </w:rPr>
        <w:t>具</w:t>
      </w:r>
      <w:r w:rsidRPr="00D4137A">
        <w:rPr>
          <w:rFonts w:ascii="標楷體" w:eastAsia="標楷體" w:hAnsi="標楷體" w:cs="Times New Roman" w:hint="eastAsia"/>
          <w:b/>
          <w:szCs w:val="24"/>
        </w:rPr>
        <w:t>結報驗收檢查報告表</w:t>
      </w:r>
      <w:r w:rsidRPr="00D4137A">
        <w:rPr>
          <w:rFonts w:ascii="標楷體" w:eastAsia="標楷體" w:hAnsi="標楷體" w:cs="微軟正黑體" w:hint="eastAsia"/>
          <w:b/>
          <w:spacing w:val="5"/>
          <w:kern w:val="0"/>
          <w:position w:val="-1"/>
          <w:szCs w:val="24"/>
        </w:rPr>
        <w:t>(如附件2)</w:t>
      </w:r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(四)應按採購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明細所載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規格數量檢視清點驗收，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合格者，應立即通知廠商更換；有特殊原因致無法依限履約者，應依政府採購法有關減價收受等相關規定辦理。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(五)採購明細表中驗收方式或其他履約事項如有特殊要求，例如：檢附原廠證明、化學成分證明</w:t>
      </w:r>
      <w:r w:rsidRPr="00D4137A">
        <w:rPr>
          <w:rFonts w:ascii="標楷體" w:eastAsia="標楷體" w:hAnsi="標楷體" w:cs="Times New Roman"/>
          <w:szCs w:val="24"/>
        </w:rPr>
        <w:t>…</w:t>
      </w:r>
      <w:r w:rsidRPr="00D4137A">
        <w:rPr>
          <w:rFonts w:ascii="標楷體" w:eastAsia="標楷體" w:hAnsi="標楷體" w:cs="Times New Roman" w:hint="eastAsia"/>
          <w:szCs w:val="24"/>
        </w:rPr>
        <w:t>等文件，</w:t>
      </w:r>
      <w:r>
        <w:rPr>
          <w:rFonts w:ascii="標楷體" w:eastAsia="標楷體" w:hAnsi="標楷體" w:cs="Times New Roman" w:hint="eastAsia"/>
          <w:szCs w:val="24"/>
        </w:rPr>
        <w:t>應</w:t>
      </w:r>
      <w:r w:rsidRPr="00D4137A">
        <w:rPr>
          <w:rFonts w:ascii="標楷體" w:eastAsia="標楷體" w:hAnsi="標楷體" w:cs="Times New Roman" w:hint="eastAsia"/>
          <w:szCs w:val="24"/>
        </w:rPr>
        <w:t>於驗收時附於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結報卷內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(六)在工程採購，為佐證廠商如期如質完工及落實履約管理之責，請購單位應於現場督工時，就</w:t>
      </w:r>
      <w:r>
        <w:rPr>
          <w:rFonts w:ascii="標楷體" w:eastAsia="標楷體" w:hAnsi="標楷體" w:cs="Times New Roman" w:hint="eastAsia"/>
          <w:szCs w:val="24"/>
        </w:rPr>
        <w:t>施工前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施工中及完工後之</w:t>
      </w:r>
      <w:r w:rsidRPr="00D4137A">
        <w:rPr>
          <w:rFonts w:ascii="標楷體" w:eastAsia="標楷體" w:hAnsi="標楷體" w:cs="Times New Roman" w:hint="eastAsia"/>
          <w:szCs w:val="24"/>
        </w:rPr>
        <w:t>各項目拍照，或以相關紀錄代替之，並於完工或驗收時製作紀錄記載完工日期、驗收項目及是否合格等相關事項；相關資料應作成文件附於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結報卷內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(七)驗收方式為取得報告書者，</w:t>
      </w:r>
      <w:r>
        <w:rPr>
          <w:rFonts w:ascii="標楷體" w:eastAsia="標楷體" w:hAnsi="標楷體" w:cs="Times New Roman" w:hint="eastAsia"/>
          <w:szCs w:val="24"/>
        </w:rPr>
        <w:t>應</w:t>
      </w:r>
      <w:r w:rsidRPr="00D4137A">
        <w:rPr>
          <w:rFonts w:ascii="標楷體" w:eastAsia="標楷體" w:hAnsi="標楷體" w:cs="Times New Roman" w:hint="eastAsia"/>
          <w:szCs w:val="24"/>
        </w:rPr>
        <w:t>於報告書上註明是否符合本所需求並由單位主管或計畫主持人核章，以利確認是否完成。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D4137A">
        <w:rPr>
          <w:rFonts w:ascii="標楷體" w:eastAsia="標楷體" w:hAnsi="標楷體" w:cs="Times New Roman" w:hint="eastAsia"/>
          <w:bCs/>
          <w:szCs w:val="24"/>
        </w:rPr>
        <w:t>(八)有不可歸責廠商之</w:t>
      </w:r>
      <w:r>
        <w:rPr>
          <w:rFonts w:ascii="標楷體" w:eastAsia="標楷體" w:hAnsi="標楷體" w:cs="Times New Roman" w:hint="eastAsia"/>
          <w:bCs/>
          <w:szCs w:val="24"/>
        </w:rPr>
        <w:t>事由</w:t>
      </w:r>
      <w:r w:rsidRPr="00D4137A">
        <w:rPr>
          <w:rFonts w:ascii="標楷體" w:eastAsia="標楷體" w:hAnsi="標楷體" w:cs="Times New Roman" w:hint="eastAsia"/>
          <w:bCs/>
          <w:szCs w:val="24"/>
        </w:rPr>
        <w:t>，</w:t>
      </w:r>
      <w:r>
        <w:rPr>
          <w:rFonts w:ascii="標楷體" w:eastAsia="標楷體" w:hAnsi="標楷體" w:cs="Times New Roman" w:hint="eastAsia"/>
          <w:bCs/>
          <w:szCs w:val="24"/>
        </w:rPr>
        <w:t>請購單位</w:t>
      </w:r>
      <w:r w:rsidRPr="00D4137A">
        <w:rPr>
          <w:rFonts w:ascii="標楷體" w:eastAsia="標楷體" w:hAnsi="標楷體" w:cs="Times New Roman" w:hint="eastAsia"/>
          <w:bCs/>
          <w:szCs w:val="24"/>
        </w:rPr>
        <w:t>不得逕行修改履約期限，應敘明理由說明不計工期之天數，由單位主管核准。</w:t>
      </w: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新細明體" w:eastAsia="新細明體" w:hAnsi="新細明體" w:cs="Times New Roman"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</w:p>
    <w:p w:rsidR="002F4133" w:rsidRDefault="002F4133">
      <w:pPr>
        <w:widowControl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  <w:br w:type="page"/>
      </w:r>
    </w:p>
    <w:p w:rsidR="002F4133" w:rsidRPr="00357998" w:rsidRDefault="002F4133" w:rsidP="002F4133">
      <w:pPr>
        <w:adjustRightInd w:val="0"/>
        <w:spacing w:line="44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44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  <w:r w:rsidRPr="00357998">
        <w:rPr>
          <w:rFonts w:ascii="Times New Roman" w:eastAsia="標楷體" w:hAnsi="Times New Roman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F689B" wp14:editId="27CCBF14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</wp:posOffset>
                </wp:positionV>
                <wp:extent cx="786130" cy="312420"/>
                <wp:effectExtent l="0" t="0" r="13970" b="11430"/>
                <wp:wrapNone/>
                <wp:docPr id="1237" name="文字方塊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133" w:rsidRDefault="002F4133" w:rsidP="002F413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37" o:spid="_x0000_s1026" type="#_x0000_t202" style="position:absolute;left:0;text-align:left;margin-left:-18pt;margin-top:1.2pt;width:61.9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">
                <v:textbox>
                  <w:txbxContent>
                    <w:p w:rsidR="002F4133" w:rsidRDefault="002F4133" w:rsidP="002F413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F4133" w:rsidRPr="00357998" w:rsidRDefault="002F4133" w:rsidP="002F4133">
      <w:pPr>
        <w:adjustRightInd w:val="0"/>
        <w:spacing w:line="360" w:lineRule="atLeast"/>
        <w:ind w:leftChars="101" w:left="738" w:hangingChars="177" w:hanging="496"/>
        <w:jc w:val="center"/>
        <w:textAlignment w:val="baselin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35799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核能研究所小額採購簡易契約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一、本採購案（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採購案號</w:t>
      </w:r>
      <w:r w:rsidRPr="00357998">
        <w:rPr>
          <w:rFonts w:ascii="標楷體" w:eastAsia="標楷體" w:hAnsi="標楷體" w:cs="Times New Roman"/>
          <w:bCs/>
          <w:kern w:val="0"/>
          <w:szCs w:val="24"/>
        </w:rPr>
        <w:t>_____________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）為新台幣十萬元以下之小額採購案，核能研究所(以下簡稱本所)向廠商取得報價簽請核准後通知廠商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承作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，本契約自承攬通知日起成立。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二、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採購標的名稱、規格及型號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詳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採購項目表。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三、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履約期限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：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四、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履約或交貨地點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：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五、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驗收方式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六、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保固期限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七、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包裝方式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八、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付款條件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：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九、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其他履約事項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十、廠商請按履約期限交貨，逾期按日依總價款千分之一自應付價金扣除逾期違約金，逾期超過</w:t>
      </w:r>
      <w:r w:rsidRPr="00357998">
        <w:rPr>
          <w:rFonts w:ascii="標楷體" w:eastAsia="標楷體" w:hAnsi="標楷體" w:cs="Times New Roman"/>
          <w:bCs/>
          <w:kern w:val="0"/>
          <w:szCs w:val="24"/>
        </w:rPr>
        <w:t>30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天者，本所得逕行解除契約，並得考量事實情形，按照政府採購法辦理廠商停權事宜。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十一、廠商應誠信履約。部份項目無法履約時，經本所同意得免履行該項目，結算時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不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給付該項目價金，並加計該扣除價金之</w:t>
      </w:r>
      <w:r w:rsidRPr="00357998">
        <w:rPr>
          <w:rFonts w:ascii="標楷體" w:eastAsia="標楷體" w:hAnsi="標楷體" w:cs="Times New Roman"/>
          <w:bCs/>
          <w:kern w:val="0"/>
          <w:szCs w:val="24"/>
        </w:rPr>
        <w:t>50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％作為懲罰性違約金。但因不可抗力情事、可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歸責本所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或不可歸責廠商之事由，免繳交前述違約金。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十二、本採購案採購項目明細如下：</w:t>
      </w: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355"/>
        <w:gridCol w:w="1080"/>
        <w:gridCol w:w="900"/>
        <w:gridCol w:w="1260"/>
        <w:gridCol w:w="1440"/>
        <w:gridCol w:w="1260"/>
      </w:tblGrid>
      <w:tr w:rsidR="002F4133" w:rsidRPr="00357998" w:rsidTr="006669B8">
        <w:trPr>
          <w:trHeight w:hRule="exact" w:val="64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標的名稱、規格及型號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單位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數量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單價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總價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2F4133" w:rsidRPr="00357998" w:rsidTr="006669B8">
        <w:trPr>
          <w:trHeight w:hRule="exact" w:val="4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F4133" w:rsidRPr="00357998" w:rsidTr="006669B8">
        <w:trPr>
          <w:trHeight w:hRule="exact" w:val="5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F4133" w:rsidRPr="00357998" w:rsidTr="006669B8">
        <w:trPr>
          <w:trHeight w:hRule="exact" w:val="55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F4133" w:rsidRPr="00357998" w:rsidTr="006669B8">
        <w:trPr>
          <w:trHeight w:hRule="exact" w:val="68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總價新台幣：   萬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仟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佰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拾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元整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>(</w:t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含稅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>)</w:t>
            </w:r>
          </w:p>
        </w:tc>
      </w:tr>
    </w:tbl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十三、承攬通知：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  <w:u w:val="single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（一）通知人：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(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單位)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(姓名)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 聯絡電話：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（二）通知日期(訂約日)：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（三）通知方式： □電話  □傳真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Cs w:val="24"/>
        </w:rPr>
        <w:t>立約人：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廠商：○○○公司 負責人：○○○</w:t>
      </w:r>
    </w:p>
    <w:p w:rsidR="002F4133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機關：行政院原子能委員會核能研究所（小額採購專用章）</w:t>
      </w:r>
    </w:p>
    <w:p w:rsidR="00FA499A" w:rsidRPr="00357998" w:rsidRDefault="002F4133" w:rsidP="00FA499A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kern w:val="0"/>
          <w:szCs w:val="24"/>
        </w:rPr>
        <w:br w:type="page"/>
      </w:r>
      <w:r w:rsidRPr="00357998">
        <w:rPr>
          <w:rFonts w:ascii="標楷體" w:eastAsia="標楷體" w:hAnsi="標楷體" w:cs="Times New Roman"/>
          <w:noProof/>
          <w:kern w:val="0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1035C" wp14:editId="6EFADDC6">
                <wp:simplePos x="0" y="0"/>
                <wp:positionH relativeFrom="column">
                  <wp:posOffset>102235</wp:posOffset>
                </wp:positionH>
                <wp:positionV relativeFrom="paragraph">
                  <wp:posOffset>-181610</wp:posOffset>
                </wp:positionV>
                <wp:extent cx="786130" cy="332105"/>
                <wp:effectExtent l="0" t="0" r="13970" b="13970"/>
                <wp:wrapNone/>
                <wp:docPr id="1238" name="文字方塊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133" w:rsidRDefault="002F4133" w:rsidP="002F413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238" o:spid="_x0000_s1027" type="#_x0000_t202" style="position:absolute;left:0;text-align:left;margin-left:8.05pt;margin-top:-14.3pt;width:61.9pt;height:26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">
                <v:textbox style="mso-fit-shape-to-text:t">
                  <w:txbxContent>
                    <w:p w:rsidR="002F4133" w:rsidRDefault="002F4133" w:rsidP="002F413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57998">
        <w:rPr>
          <w:rFonts w:ascii="標楷體" w:eastAsia="標楷體" w:hAnsi="標楷體" w:cs="Times New Roman" w:hint="eastAsia"/>
          <w:sz w:val="32"/>
          <w:szCs w:val="32"/>
        </w:rPr>
        <w:t>結報驗收檢查報告表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F4133" w:rsidRPr="00357998" w:rsidTr="00FA499A">
        <w:trPr>
          <w:trHeight w:val="544"/>
        </w:trPr>
        <w:tc>
          <w:tcPr>
            <w:tcW w:w="8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採購案號:</w:t>
            </w:r>
          </w:p>
        </w:tc>
      </w:tr>
      <w:tr w:rsidR="002F4133" w:rsidRPr="00357998" w:rsidTr="00FA499A">
        <w:trPr>
          <w:trHeight w:val="666"/>
        </w:trPr>
        <w:tc>
          <w:tcPr>
            <w:tcW w:w="8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採購名稱:</w:t>
            </w:r>
          </w:p>
        </w:tc>
      </w:tr>
      <w:tr w:rsidR="002F4133" w:rsidRPr="00357998" w:rsidTr="00FA499A">
        <w:trPr>
          <w:trHeight w:val="1615"/>
        </w:trPr>
        <w:tc>
          <w:tcPr>
            <w:tcW w:w="8362" w:type="dxa"/>
            <w:tcBorders>
              <w:top w:val="single" w:sz="12" w:space="0" w:color="auto"/>
            </w:tcBorders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驗收內容:</w:t>
            </w:r>
          </w:p>
        </w:tc>
      </w:tr>
      <w:tr w:rsidR="002F4133" w:rsidRPr="00357998" w:rsidTr="00FA499A">
        <w:trPr>
          <w:trHeight w:val="1965"/>
        </w:trPr>
        <w:tc>
          <w:tcPr>
            <w:tcW w:w="8362" w:type="dxa"/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驗收結果:</w:t>
            </w:r>
          </w:p>
        </w:tc>
      </w:tr>
      <w:tr w:rsidR="002F4133" w:rsidRPr="00357998" w:rsidTr="00FA499A">
        <w:trPr>
          <w:trHeight w:val="3857"/>
        </w:trPr>
        <w:tc>
          <w:tcPr>
            <w:tcW w:w="8362" w:type="dxa"/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相關照片記錄:</w:t>
            </w:r>
          </w:p>
          <w:p w:rsidR="002F4133" w:rsidRPr="00357998" w:rsidRDefault="002F4133" w:rsidP="00FA49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F4133" w:rsidRPr="00357998" w:rsidTr="00FA499A">
        <w:trPr>
          <w:trHeight w:val="830"/>
        </w:trPr>
        <w:tc>
          <w:tcPr>
            <w:tcW w:w="8362" w:type="dxa"/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主</w:t>
            </w:r>
            <w:proofErr w:type="gramStart"/>
            <w:r w:rsidRPr="00357998">
              <w:rPr>
                <w:rFonts w:ascii="標楷體" w:eastAsia="標楷體" w:hAnsi="標楷體" w:cs="Times New Roman" w:hint="eastAsia"/>
              </w:rPr>
              <w:t>驗人核</w:t>
            </w:r>
            <w:proofErr w:type="gramEnd"/>
            <w:r w:rsidRPr="00357998">
              <w:rPr>
                <w:rFonts w:ascii="標楷體" w:eastAsia="標楷體" w:hAnsi="標楷體" w:cs="Times New Roman" w:hint="eastAsia"/>
              </w:rPr>
              <w:t>章:                         驗收日期:</w:t>
            </w:r>
          </w:p>
        </w:tc>
      </w:tr>
    </w:tbl>
    <w:p w:rsidR="002F4133" w:rsidRPr="00357998" w:rsidRDefault="002F4133" w:rsidP="002F4133">
      <w:pPr>
        <w:adjustRightInd w:val="0"/>
        <w:spacing w:line="44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</w:p>
    <w:p w:rsidR="003C0888" w:rsidRDefault="003C0888"/>
    <w:sectPr w:rsidR="003C08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58" w:rsidRDefault="00246858" w:rsidP="00FA499A">
      <w:r>
        <w:separator/>
      </w:r>
    </w:p>
  </w:endnote>
  <w:endnote w:type="continuationSeparator" w:id="0">
    <w:p w:rsidR="00246858" w:rsidRDefault="00246858" w:rsidP="00FA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926542"/>
      <w:docPartObj>
        <w:docPartGallery w:val="Page Numbers (Bottom of Page)"/>
        <w:docPartUnique/>
      </w:docPartObj>
    </w:sdtPr>
    <w:sdtEndPr/>
    <w:sdtContent>
      <w:p w:rsidR="00FA499A" w:rsidRDefault="00FA4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8B" w:rsidRPr="0067648B">
          <w:rPr>
            <w:noProof/>
            <w:lang w:val="zh-TW"/>
          </w:rPr>
          <w:t>1</w:t>
        </w:r>
        <w:r>
          <w:fldChar w:fldCharType="end"/>
        </w:r>
      </w:p>
    </w:sdtContent>
  </w:sdt>
  <w:p w:rsidR="00FA499A" w:rsidRDefault="00FA49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58" w:rsidRDefault="00246858" w:rsidP="00FA499A">
      <w:r>
        <w:separator/>
      </w:r>
    </w:p>
  </w:footnote>
  <w:footnote w:type="continuationSeparator" w:id="0">
    <w:p w:rsidR="00246858" w:rsidRDefault="00246858" w:rsidP="00FA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33"/>
    <w:rsid w:val="00246858"/>
    <w:rsid w:val="002F4133"/>
    <w:rsid w:val="003C0888"/>
    <w:rsid w:val="0067648B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4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49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4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49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黃貴貞</cp:lastModifiedBy>
  <cp:revision>3</cp:revision>
  <dcterms:created xsi:type="dcterms:W3CDTF">2015-12-23T08:38:00Z</dcterms:created>
  <dcterms:modified xsi:type="dcterms:W3CDTF">2015-12-30T00:58:00Z</dcterms:modified>
</cp:coreProperties>
</file>